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91C7A">
      <w:pPr>
        <w:autoSpaceDE w:val="0"/>
        <w:autoSpaceDN w:val="0"/>
        <w:adjustRightInd w:val="0"/>
        <w:ind w:right="27"/>
        <w:jc w:val="right"/>
        <w:rPr>
          <w:b/>
          <w:bCs/>
          <w:kern w:val="0"/>
          <w:sz w:val="144"/>
          <w:szCs w:val="144"/>
        </w:rPr>
      </w:pPr>
      <w:bookmarkStart w:id="0" w:name="_Hlk205472107"/>
      <w:bookmarkEnd w:id="0"/>
      <w:r>
        <w:rPr>
          <w:b/>
          <w:bCs/>
          <w:sz w:val="144"/>
          <w:szCs w:val="144"/>
        </w:rPr>
        <w:t>JJF</w:t>
      </w:r>
    </w:p>
    <w:p w14:paraId="33167A38">
      <w:pPr>
        <w:autoSpaceDE w:val="0"/>
        <w:autoSpaceDN w:val="0"/>
        <w:adjustRightInd w:val="0"/>
        <w:jc w:val="center"/>
        <w:rPr>
          <w:rFonts w:asciiTheme="minorEastAsia" w:hAnsiTheme="minorEastAsia" w:eastAsiaTheme="minorEastAsia"/>
          <w:b/>
          <w:bCs/>
          <w:kern w:val="0"/>
          <w:sz w:val="48"/>
          <w:szCs w:val="48"/>
        </w:rPr>
      </w:pPr>
      <w:r>
        <w:rPr>
          <w:rFonts w:hint="eastAsia" w:cs="华文中宋" w:asciiTheme="minorEastAsia" w:hAnsiTheme="minorEastAsia" w:eastAsiaTheme="minorEastAsia"/>
          <w:b/>
          <w:bCs/>
          <w:kern w:val="0"/>
          <w:sz w:val="48"/>
          <w:szCs w:val="48"/>
        </w:rPr>
        <w:t>中华人民共和国国家计量技术规范</w:t>
      </w:r>
    </w:p>
    <w:p w14:paraId="005B809A">
      <w:pPr>
        <w:autoSpaceDE w:val="0"/>
        <w:autoSpaceDN w:val="0"/>
        <w:adjustRightInd w:val="0"/>
        <w:jc w:val="right"/>
        <w:rPr>
          <w:rFonts w:ascii="黑体" w:eastAsia="黑体"/>
          <w:kern w:val="0"/>
          <w:sz w:val="28"/>
          <w:szCs w:val="28"/>
        </w:rPr>
      </w:pPr>
      <w:r>
        <w:rPr>
          <w:rFonts w:ascii="黑体" w:eastAsia="黑体"/>
          <w:kern w:val="0"/>
          <w:sz w:val="28"/>
          <w:szCs w:val="28"/>
        </w:rPr>
        <w:t xml:space="preserve">                                   JJF</w:t>
      </w:r>
      <w:r>
        <w:rPr>
          <w:rFonts w:hint="eastAsia" w:ascii="黑体" w:eastAsia="黑体"/>
          <w:kern w:val="0"/>
          <w:sz w:val="28"/>
          <w:szCs w:val="28"/>
        </w:rPr>
        <w:t>XXXX─XXXX</w:t>
      </w:r>
      <w:r>
        <w:rPr>
          <w:rFonts w:ascii="黑体" w:eastAsia="黑体"/>
          <w:kern w:val="0"/>
          <w:sz w:val="28"/>
          <w:szCs w:val="28"/>
        </w:rPr>
        <w:t xml:space="preserve"> </w:t>
      </w:r>
    </w:p>
    <w:p w14:paraId="516147A5">
      <w:pPr>
        <w:autoSpaceDE w:val="0"/>
        <w:autoSpaceDN w:val="0"/>
        <w:adjustRightInd w:val="0"/>
        <w:jc w:val="left"/>
        <w:rPr>
          <w:rFonts w:eastAsia="黑体"/>
          <w:kern w:val="0"/>
          <w:sz w:val="14"/>
          <w:szCs w:val="14"/>
        </w:rPr>
      </w:pPr>
      <w:r>
        <w:rPr>
          <w:rFonts w:eastAsia="黑体"/>
          <w:kern w:val="0"/>
          <w:sz w:val="38"/>
          <w:szCs w:val="38"/>
        </w:rPr>
        <mc:AlternateContent>
          <mc:Choice Requires="wpg">
            <w:drawing>
              <wp:inline distT="0" distB="0" distL="0" distR="0">
                <wp:extent cx="6004560" cy="98425"/>
                <wp:effectExtent l="0" t="10795" r="0" b="0"/>
                <wp:docPr id="11" name="Group 26"/>
                <wp:cNvGraphicFramePr/>
                <a:graphic xmlns:a="http://schemas.openxmlformats.org/drawingml/2006/main">
                  <a:graphicData uri="http://schemas.microsoft.com/office/word/2010/wordprocessingGroup">
                    <wpg:wgp>
                      <wpg:cNvGrpSpPr/>
                      <wpg:grpSpPr>
                        <a:xfrm>
                          <a:off x="0" y="0"/>
                          <a:ext cx="6004560" cy="98425"/>
                          <a:chOff x="0" y="0"/>
                          <a:chExt cx="7200" cy="136203"/>
                        </a:xfrm>
                      </wpg:grpSpPr>
                      <wps:wsp>
                        <wps:cNvPr id="12" name="AutoShape 27"/>
                        <wps:cNvSpPr>
                          <a:spLocks noChangeAspect="1" noChangeArrowheads="1" noTextEdit="1"/>
                        </wps:cNvSpPr>
                        <wps:spPr bwMode="auto">
                          <a:xfrm>
                            <a:off x="0" y="0"/>
                            <a:ext cx="7200" cy="136"/>
                          </a:xfrm>
                          <a:prstGeom prst="rect">
                            <a:avLst/>
                          </a:prstGeom>
                          <a:noFill/>
                          <a:ln>
                            <a:noFill/>
                          </a:ln>
                        </wps:spPr>
                        <wps:bodyPr rot="0" vert="horz" wrap="square" lIns="91440" tIns="45720" rIns="91440" bIns="45720" anchor="t" anchorCtr="0" upright="1">
                          <a:noAutofit/>
                        </wps:bodyPr>
                      </wps:wsp>
                      <wps:wsp>
                        <wps:cNvPr id="13" name="Line 28"/>
                        <wps:cNvCnPr>
                          <a:cxnSpLocks noChangeShapeType="1"/>
                        </wps:cNvCnPr>
                        <wps:spPr bwMode="auto">
                          <a:xfrm>
                            <a:off x="313" y="0"/>
                            <a:ext cx="6730" cy="1"/>
                          </a:xfrm>
                          <a:prstGeom prst="line">
                            <a:avLst/>
                          </a:prstGeom>
                          <a:noFill/>
                          <a:ln w="9525">
                            <a:solidFill>
                              <a:srgbClr val="000000"/>
                            </a:solidFill>
                            <a:round/>
                          </a:ln>
                        </wps:spPr>
                        <wps:bodyPr/>
                      </wps:wsp>
                    </wpg:wgp>
                  </a:graphicData>
                </a:graphic>
              </wp:inline>
            </w:drawing>
          </mc:Choice>
          <mc:Fallback>
            <w:pict>
              <v:group id="Group 26" o:spid="_x0000_s1026" o:spt="203" style="height:7.75pt;width:472.8pt;" coordsize="7200,136203" o:gfxdata="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MY18MXV&#10;AAAABAEAAA8AAAAAAAAAAQAgAAAAIgAAAGRycy9kb3ducmV2LnhtbFBLAQIUABQAAAAIAIdO4kDD&#10;IlCvzgIAAAwHAAAOAAAAAAAAAAEAIAAAACQBAABkcnMvZTJvRG9jLnhtbFBLBQYAAAAABgAGAFkB&#10;AABkBgAAAAA=&#10;">
                <o:lock v:ext="edit" aspectratio="f"/>
                <v:rect id="AutoShape 27" o:spid="_x0000_s1026" o:spt="1" style="position:absolute;left:0;top:0;height:136;width:7200;" filled="f" stroked="f" coordsize="21600,21600" o:gfxdata="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PoZ/8ugAAANsA&#10;AAAPAAAAAAAAAAEAIAAAACIAAABkcnMvZG93bnJldi54bWxQSwECFAAUAAAACACHTuJAMy8FnjsA&#10;AAA5AAAAEAAAAAAAAAABACAAAAAJAQAAZHJzL3NoYXBleG1sLnhtbFBLBQYAAAAABgAGAFsBAACz&#10;AwAAAAA=&#10;">
                  <v:fill on="f" focussize="0,0"/>
                  <v:stroke on="f"/>
                  <v:imagedata o:title=""/>
                  <o:lock v:ext="edit" text="t" aspectratio="t"/>
                </v:rect>
                <v:line id="Line 28" o:spid="_x0000_s1026" o:spt="20" style="position:absolute;left:313;top:0;height:1;width:6730;" filled="f" stroked="t" coordsize="21600,21600" o:gfxdata="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fuTt+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w10:wrap type="none"/>
                <w10:anchorlock/>
              </v:group>
            </w:pict>
          </mc:Fallback>
        </mc:AlternateContent>
      </w:r>
      <w:r>
        <w:rPr>
          <w:rFonts w:eastAsia="黑体"/>
          <w:kern w:val="0"/>
          <w:sz w:val="38"/>
          <w:szCs w:val="38"/>
        </w:rPr>
        <mc:AlternateContent>
          <mc:Choice Requires="wpg">
            <w:drawing>
              <wp:inline distT="0" distB="0" distL="0" distR="0">
                <wp:extent cx="6054090" cy="297180"/>
                <wp:effectExtent l="0" t="3810" r="0" b="0"/>
                <wp:docPr id="9" name="Group 2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054090" cy="297180"/>
                          <a:chOff x="0" y="0"/>
                          <a:chExt cx="9534" cy="468203"/>
                        </a:xfrm>
                      </wpg:grpSpPr>
                      <wps:wsp>
                        <wps:cNvPr id="10" name="AutoShape 25"/>
                        <wps:cNvSpPr>
                          <a:spLocks noChangeAspect="1" noChangeArrowheads="1" noTextEdit="1"/>
                        </wps:cNvSpPr>
                        <wps:spPr bwMode="auto">
                          <a:xfrm>
                            <a:off x="0" y="0"/>
                            <a:ext cx="9534" cy="468"/>
                          </a:xfrm>
                          <a:prstGeom prst="rect">
                            <a:avLst/>
                          </a:prstGeom>
                          <a:noFill/>
                          <a:ln>
                            <a:noFill/>
                          </a:ln>
                        </wps:spPr>
                        <wps:bodyPr rot="0" vert="horz" wrap="square" lIns="91440" tIns="45720" rIns="91440" bIns="45720" anchor="t" anchorCtr="0" upright="1">
                          <a:noAutofit/>
                        </wps:bodyPr>
                      </wps:wsp>
                    </wpg:wgp>
                  </a:graphicData>
                </a:graphic>
              </wp:inline>
            </w:drawing>
          </mc:Choice>
          <mc:Fallback>
            <w:pict>
              <v:group id="Group 24" o:spid="_x0000_s1026" o:spt="203" style="height:23.4pt;width:476.7pt;" coordsize="9534,468203" o:gfxdata="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jvJr1gAAAAQBAAAPAAAAAAAAAAEAIAAAACIAAABkcnMvZG93bnJldi54bWxQSwEC&#10;FAAUAAAACACHTuJASXY1vWgCAAB8BQAADgAAAAAAAAABACAAAAAlAQAAZHJzL2Uyb0RvYy54bWxQ&#10;SwUGAAAAAAYABgBZAQAA/wUAAAAA&#10;">
                <o:lock v:ext="edit" aspectratio="t"/>
                <v:rect id="AutoShape 25" o:spid="_x0000_s1026" o:spt="1" style="position:absolute;left:0;top:0;height:468;width:9534;" filled="f" stroked="f" coordsize="21600,21600" o:gfxdata="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P6QQvQAA&#10;ANsAAAAPAAAAAAAAAAEAIAAAACIAAABkcnMvZG93bnJldi54bWxQSwECFAAUAAAACACHTuJAMy8F&#10;njsAAAA5AAAAEAAAAAAAAAABACAAAAAMAQAAZHJzL3NoYXBleG1sLnhtbFBLBQYAAAAABgAGAFsB&#10;AAC2AwAAAAA=&#10;">
                  <v:fill on="f" focussize="0,0"/>
                  <v:stroke on="f"/>
                  <v:imagedata o:title=""/>
                  <o:lock v:ext="edit" text="t" aspectratio="t"/>
                </v:rect>
                <w10:wrap type="none"/>
                <w10:anchorlock/>
              </v:group>
            </w:pict>
          </mc:Fallback>
        </mc:AlternateContent>
      </w:r>
    </w:p>
    <w:p w14:paraId="1C066B86">
      <w:pPr>
        <w:jc w:val="center"/>
        <w:rPr>
          <w:rFonts w:eastAsia="黑体"/>
          <w:kern w:val="0"/>
          <w:sz w:val="52"/>
          <w:szCs w:val="52"/>
        </w:rPr>
      </w:pPr>
    </w:p>
    <w:p w14:paraId="3D57A8BB">
      <w:pPr>
        <w:jc w:val="center"/>
        <w:rPr>
          <w:rFonts w:eastAsia="黑体"/>
          <w:kern w:val="0"/>
          <w:sz w:val="52"/>
          <w:szCs w:val="52"/>
        </w:rPr>
      </w:pPr>
      <w:r>
        <w:rPr>
          <w:rFonts w:hint="eastAsia" w:eastAsia="黑体" w:cs="黑体"/>
          <w:kern w:val="0"/>
          <w:sz w:val="52"/>
          <w:szCs w:val="52"/>
        </w:rPr>
        <w:t>非对称流动场场流仪校准规范</w:t>
      </w:r>
    </w:p>
    <w:p w14:paraId="593BFB0D">
      <w:pPr>
        <w:jc w:val="center"/>
        <w:rPr>
          <w:rFonts w:ascii="黑体" w:hAnsi="黑体" w:eastAsia="黑体"/>
          <w:sz w:val="28"/>
          <w:szCs w:val="28"/>
        </w:rPr>
      </w:pPr>
      <w:bookmarkStart w:id="1" w:name="_Toc192461000"/>
      <w:r>
        <w:rPr>
          <w:rFonts w:ascii="黑体" w:hAnsi="黑体" w:eastAsia="黑体"/>
          <w:sz w:val="28"/>
          <w:szCs w:val="28"/>
        </w:rPr>
        <w:t xml:space="preserve">Calibration Specification </w:t>
      </w:r>
      <w:r>
        <w:rPr>
          <w:rFonts w:hint="eastAsia" w:ascii="黑体" w:hAnsi="黑体" w:eastAsia="黑体"/>
          <w:sz w:val="28"/>
          <w:szCs w:val="28"/>
        </w:rPr>
        <w:t>for</w:t>
      </w:r>
      <w:r>
        <w:rPr>
          <w:rFonts w:ascii="黑体" w:hAnsi="黑体" w:eastAsia="黑体"/>
          <w:sz w:val="28"/>
          <w:szCs w:val="28"/>
        </w:rPr>
        <w:t xml:space="preserve"> </w:t>
      </w:r>
      <w:r>
        <w:rPr>
          <w:rFonts w:hint="eastAsia" w:ascii="黑体" w:hAnsi="黑体" w:eastAsia="黑体"/>
          <w:sz w:val="28"/>
          <w:szCs w:val="28"/>
        </w:rPr>
        <w:t>Asymmetric Flow Field-Flow Fractionation</w:t>
      </w:r>
      <w:bookmarkEnd w:id="1"/>
    </w:p>
    <w:p w14:paraId="40AE02FC">
      <w:pPr>
        <w:jc w:val="center"/>
        <w:rPr>
          <w:rFonts w:ascii="黑体" w:hAnsi="黑体" w:eastAsia="黑体"/>
          <w:sz w:val="32"/>
          <w:szCs w:val="32"/>
        </w:rPr>
      </w:pPr>
      <w:bookmarkStart w:id="2" w:name="_Toc192461002"/>
      <w:r>
        <w:rPr>
          <w:rFonts w:hint="eastAsia" w:ascii="黑体" w:hAnsi="黑体" w:eastAsia="黑体"/>
          <w:sz w:val="32"/>
          <w:szCs w:val="32"/>
        </w:rPr>
        <w:t>（征求意见稿）</w:t>
      </w:r>
      <w:bookmarkEnd w:id="2"/>
    </w:p>
    <w:p w14:paraId="6EB553A3">
      <w:pPr>
        <w:autoSpaceDE w:val="0"/>
        <w:autoSpaceDN w:val="0"/>
        <w:adjustRightInd w:val="0"/>
        <w:jc w:val="left"/>
        <w:rPr>
          <w:rFonts w:eastAsia="黑体"/>
          <w:kern w:val="0"/>
          <w:sz w:val="18"/>
          <w:szCs w:val="18"/>
        </w:rPr>
      </w:pPr>
    </w:p>
    <w:p w14:paraId="3BD69212">
      <w:pPr>
        <w:autoSpaceDE w:val="0"/>
        <w:autoSpaceDN w:val="0"/>
        <w:adjustRightInd w:val="0"/>
        <w:jc w:val="left"/>
        <w:rPr>
          <w:rFonts w:eastAsia="黑体"/>
          <w:kern w:val="0"/>
          <w:sz w:val="18"/>
          <w:szCs w:val="18"/>
        </w:rPr>
      </w:pPr>
      <w:bookmarkStart w:id="64" w:name="_GoBack"/>
      <w:bookmarkEnd w:id="64"/>
    </w:p>
    <w:p w14:paraId="31AE9E66">
      <w:pPr>
        <w:autoSpaceDE w:val="0"/>
        <w:autoSpaceDN w:val="0"/>
        <w:adjustRightInd w:val="0"/>
        <w:jc w:val="left"/>
        <w:rPr>
          <w:rFonts w:eastAsia="黑体"/>
          <w:kern w:val="0"/>
          <w:sz w:val="18"/>
          <w:szCs w:val="18"/>
        </w:rPr>
      </w:pPr>
    </w:p>
    <w:p w14:paraId="12FF6B13">
      <w:pPr>
        <w:autoSpaceDE w:val="0"/>
        <w:autoSpaceDN w:val="0"/>
        <w:adjustRightInd w:val="0"/>
        <w:jc w:val="left"/>
        <w:rPr>
          <w:rFonts w:eastAsia="黑体"/>
          <w:kern w:val="0"/>
          <w:sz w:val="18"/>
          <w:szCs w:val="18"/>
        </w:rPr>
      </w:pPr>
    </w:p>
    <w:p w14:paraId="6BBB7E55">
      <w:pPr>
        <w:autoSpaceDE w:val="0"/>
        <w:autoSpaceDN w:val="0"/>
        <w:adjustRightInd w:val="0"/>
        <w:jc w:val="left"/>
        <w:rPr>
          <w:rFonts w:eastAsia="黑体"/>
          <w:kern w:val="0"/>
          <w:sz w:val="18"/>
          <w:szCs w:val="18"/>
        </w:rPr>
      </w:pPr>
    </w:p>
    <w:p w14:paraId="12EA7932">
      <w:pPr>
        <w:autoSpaceDE w:val="0"/>
        <w:autoSpaceDN w:val="0"/>
        <w:adjustRightInd w:val="0"/>
        <w:jc w:val="left"/>
        <w:rPr>
          <w:rFonts w:eastAsia="黑体"/>
          <w:kern w:val="0"/>
          <w:sz w:val="18"/>
          <w:szCs w:val="18"/>
        </w:rPr>
      </w:pPr>
    </w:p>
    <w:p w14:paraId="48381F72">
      <w:pPr>
        <w:autoSpaceDE w:val="0"/>
        <w:autoSpaceDN w:val="0"/>
        <w:adjustRightInd w:val="0"/>
        <w:jc w:val="left"/>
        <w:rPr>
          <w:rFonts w:eastAsia="黑体"/>
          <w:kern w:val="0"/>
          <w:sz w:val="18"/>
          <w:szCs w:val="18"/>
        </w:rPr>
      </w:pPr>
    </w:p>
    <w:p w14:paraId="2C1B3FAB">
      <w:pPr>
        <w:autoSpaceDE w:val="0"/>
        <w:autoSpaceDN w:val="0"/>
        <w:adjustRightInd w:val="0"/>
        <w:jc w:val="left"/>
        <w:rPr>
          <w:rFonts w:eastAsia="黑体"/>
          <w:kern w:val="0"/>
          <w:sz w:val="18"/>
          <w:szCs w:val="18"/>
        </w:rPr>
      </w:pPr>
    </w:p>
    <w:p w14:paraId="2C664223">
      <w:pPr>
        <w:autoSpaceDE w:val="0"/>
        <w:autoSpaceDN w:val="0"/>
        <w:adjustRightInd w:val="0"/>
        <w:jc w:val="left"/>
        <w:rPr>
          <w:rFonts w:eastAsia="黑体"/>
          <w:kern w:val="0"/>
          <w:sz w:val="18"/>
          <w:szCs w:val="18"/>
        </w:rPr>
      </w:pPr>
    </w:p>
    <w:p w14:paraId="6A040956">
      <w:pPr>
        <w:autoSpaceDE w:val="0"/>
        <w:autoSpaceDN w:val="0"/>
        <w:adjustRightInd w:val="0"/>
        <w:ind w:firstLine="1120" w:firstLineChars="400"/>
        <w:rPr>
          <w:rFonts w:eastAsia="黑体"/>
          <w:kern w:val="0"/>
          <w:sz w:val="28"/>
          <w:szCs w:val="28"/>
        </w:rPr>
      </w:pPr>
      <w:r>
        <w:rPr>
          <w:rFonts w:eastAsia="黑体"/>
          <w:kern w:val="0"/>
          <w:sz w:val="28"/>
          <w:szCs w:val="28"/>
        </w:rPr>
        <mc:AlternateContent>
          <mc:Choice Requires="wpg">
            <w:drawing>
              <wp:anchor distT="0" distB="0" distL="114300" distR="114300" simplePos="0" relativeHeight="251661312" behindDoc="0" locked="0" layoutInCell="1" allowOverlap="1">
                <wp:simplePos x="0" y="0"/>
                <wp:positionH relativeFrom="margin">
                  <wp:align>left</wp:align>
                </wp:positionH>
                <wp:positionV relativeFrom="paragraph">
                  <wp:posOffset>377190</wp:posOffset>
                </wp:positionV>
                <wp:extent cx="5372735" cy="45085"/>
                <wp:effectExtent l="0" t="57150" r="37465" b="12065"/>
                <wp:wrapTopAndBottom/>
                <wp:docPr id="6" name="Group 21"/>
                <wp:cNvGraphicFramePr/>
                <a:graphic xmlns:a="http://schemas.openxmlformats.org/drawingml/2006/main">
                  <a:graphicData uri="http://schemas.microsoft.com/office/word/2010/wordprocessingGroup">
                    <wpg:wgp>
                      <wpg:cNvGrpSpPr/>
                      <wpg:grpSpPr>
                        <a:xfrm>
                          <a:off x="0" y="0"/>
                          <a:ext cx="5372735" cy="45085"/>
                          <a:chOff x="0" y="0"/>
                          <a:chExt cx="7357" cy="272203"/>
                        </a:xfrm>
                      </wpg:grpSpPr>
                      <wps:wsp>
                        <wps:cNvPr id="7" name="AutoShape 22"/>
                        <wps:cNvSpPr>
                          <a:spLocks noChangeAspect="1" noChangeArrowheads="1" noTextEdit="1"/>
                        </wps:cNvSpPr>
                        <wps:spPr bwMode="auto">
                          <a:xfrm>
                            <a:off x="0" y="0"/>
                            <a:ext cx="7357" cy="272"/>
                          </a:xfrm>
                          <a:prstGeom prst="rect">
                            <a:avLst/>
                          </a:prstGeom>
                          <a:noFill/>
                          <a:ln>
                            <a:noFill/>
                          </a:ln>
                        </wps:spPr>
                        <wps:bodyPr rot="0" vert="horz" wrap="square" lIns="91440" tIns="45720" rIns="91440" bIns="45720" anchor="t" anchorCtr="0" upright="1">
                          <a:noAutofit/>
                        </wps:bodyPr>
                      </wps:wsp>
                      <wps:wsp>
                        <wps:cNvPr id="8" name="Line 23"/>
                        <wps:cNvCnPr>
                          <a:cxnSpLocks noChangeShapeType="1"/>
                        </wps:cNvCnPr>
                        <wps:spPr bwMode="auto">
                          <a:xfrm>
                            <a:off x="157" y="136"/>
                            <a:ext cx="7200" cy="1"/>
                          </a:xfrm>
                          <a:prstGeom prst="line">
                            <a:avLst/>
                          </a:prstGeom>
                          <a:noFill/>
                          <a:ln w="9525">
                            <a:solidFill>
                              <a:srgbClr val="000000"/>
                            </a:solidFill>
                            <a:round/>
                          </a:ln>
                        </wps:spPr>
                        <wps:bodyPr/>
                      </wps:wsp>
                    </wpg:wgp>
                  </a:graphicData>
                </a:graphic>
              </wp:anchor>
            </w:drawing>
          </mc:Choice>
          <mc:Fallback>
            <w:pict>
              <v:group id="Group 21" o:spid="_x0000_s1026" o:spt="203" style="position:absolute;left:0pt;margin-top:29.7pt;height:3.55pt;width:423.05pt;mso-position-horizontal:left;mso-position-horizontal-relative:margin;mso-wrap-distance-bottom:0pt;mso-wrap-distance-top:0pt;z-index:251661312;mso-width-relative:page;mso-height-relative:page;" coordsize="7357,272203" o:gfxdata="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">
                <o:lock v:ext="edit" aspectratio="f"/>
                <v:rect id="AutoShape 22" o:spid="_x0000_s1026" o:spt="1" style="position:absolute;left:0;top:0;height:272;width:7357;" filled="f" stroked="f" coordsize="21600,21600" o:gfxdata="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nRSivQAA&#10;ANoAAAAPAAAAAAAAAAEAIAAAACIAAABkcnMvZG93bnJldi54bWxQSwECFAAUAAAACACHTuJAMy8F&#10;njsAAAA5AAAAEAAAAAAAAAABACAAAAAMAQAAZHJzL3NoYXBleG1sLnhtbFBLBQYAAAAABgAGAFsB&#10;AAC2AwAAAAA=&#10;">
                  <v:fill on="f" focussize="0,0"/>
                  <v:stroke on="f"/>
                  <v:imagedata o:title=""/>
                  <o:lock v:ext="edit" text="t" aspectratio="t"/>
                </v:rect>
                <v:line id="Line 23" o:spid="_x0000_s1026" o:spt="20" style="position:absolute;left:157;top:136;height:1;width:7200;" filled="f" stroked="t" coordsize="21600,21600" o:gfxdata="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jomGbgAAADaAAAA&#10;DwAAAAAAAAABACAAAAAiAAAAZHJzL2Rvd25yZXYueG1sUEsBAhQAFAAAAAgAh07iQDMvBZ47AAAA&#10;OQAAABAAAAAAAAAAAQAgAAAABwEAAGRycy9zaGFwZXhtbC54bWxQSwUGAAAAAAYABgBbAQAAsQMA&#10;AAAA&#10;">
                  <v:fill on="f" focussize="0,0"/>
                  <v:stroke color="#000000" joinstyle="round"/>
                  <v:imagedata o:title=""/>
                  <o:lock v:ext="edit" aspectratio="f"/>
                </v:line>
                <w10:wrap type="topAndBottom"/>
              </v:group>
            </w:pict>
          </mc:Fallback>
        </mc:AlternateContent>
      </w:r>
      <w:r>
        <w:rPr>
          <w:rFonts w:hint="eastAsia" w:ascii="黑体" w:hAnsi="黑体" w:eastAsia="黑体"/>
          <w:kern w:val="0"/>
          <w:sz w:val="28"/>
          <w:szCs w:val="28"/>
        </w:rPr>
        <w:t>XXXX</w:t>
      </w:r>
      <w:r>
        <w:rPr>
          <w:rFonts w:ascii="黑体" w:hAnsi="黑体" w:eastAsia="黑体"/>
          <w:kern w:val="0"/>
          <w:sz w:val="28"/>
          <w:szCs w:val="28"/>
        </w:rPr>
        <w:t>-</w:t>
      </w:r>
      <w:r>
        <w:rPr>
          <w:rFonts w:hint="eastAsia" w:ascii="黑体" w:hAnsi="黑体" w:eastAsia="黑体"/>
          <w:kern w:val="0"/>
          <w:sz w:val="28"/>
          <w:szCs w:val="28"/>
        </w:rPr>
        <w:t>XX</w:t>
      </w:r>
      <w:r>
        <w:rPr>
          <w:rFonts w:ascii="黑体" w:hAnsi="黑体" w:eastAsia="黑体"/>
          <w:kern w:val="0"/>
          <w:sz w:val="28"/>
          <w:szCs w:val="28"/>
        </w:rPr>
        <w:t>-</w:t>
      </w:r>
      <w:r>
        <w:rPr>
          <w:rFonts w:hint="eastAsia" w:ascii="黑体" w:hAnsi="黑体" w:eastAsia="黑体"/>
          <w:kern w:val="0"/>
          <w:sz w:val="28"/>
          <w:szCs w:val="28"/>
        </w:rPr>
        <w:t>XX</w:t>
      </w:r>
      <w:r>
        <w:rPr>
          <w:rFonts w:hint="eastAsia" w:ascii="黑体" w:hAnsi="黑体" w:eastAsia="黑体" w:cs="黑体"/>
          <w:kern w:val="0"/>
          <w:sz w:val="28"/>
          <w:szCs w:val="28"/>
        </w:rPr>
        <w:t>发布</w:t>
      </w:r>
      <w:r>
        <w:rPr>
          <w:rFonts w:eastAsia="黑体"/>
          <w:kern w:val="0"/>
          <w:sz w:val="28"/>
          <w:szCs w:val="28"/>
        </w:rPr>
        <w:t xml:space="preserve">                 </w:t>
      </w:r>
      <w:r>
        <w:rPr>
          <w:rFonts w:hint="eastAsia" w:eastAsia="黑体"/>
          <w:kern w:val="0"/>
          <w:sz w:val="28"/>
          <w:szCs w:val="28"/>
        </w:rPr>
        <w:t xml:space="preserve">                            </w:t>
      </w:r>
      <w:r>
        <w:rPr>
          <w:rFonts w:hint="eastAsia" w:ascii="黑体" w:hAnsi="黑体" w:eastAsia="黑体"/>
          <w:kern w:val="0"/>
          <w:sz w:val="28"/>
          <w:szCs w:val="28"/>
        </w:rPr>
        <w:t>XXXX</w:t>
      </w:r>
      <w:r>
        <w:rPr>
          <w:rFonts w:ascii="黑体" w:hAnsi="黑体" w:eastAsia="黑体"/>
          <w:kern w:val="0"/>
          <w:sz w:val="28"/>
          <w:szCs w:val="28"/>
        </w:rPr>
        <w:t>-</w:t>
      </w:r>
      <w:r>
        <w:rPr>
          <w:rFonts w:hint="eastAsia" w:ascii="黑体" w:hAnsi="黑体" w:eastAsia="黑体"/>
          <w:kern w:val="0"/>
          <w:sz w:val="28"/>
          <w:szCs w:val="28"/>
        </w:rPr>
        <w:t>XX</w:t>
      </w:r>
      <w:r>
        <w:rPr>
          <w:rFonts w:ascii="黑体" w:hAnsi="黑体" w:eastAsia="黑体"/>
          <w:kern w:val="0"/>
          <w:sz w:val="28"/>
          <w:szCs w:val="28"/>
        </w:rPr>
        <w:t>-</w:t>
      </w:r>
      <w:r>
        <w:rPr>
          <w:rFonts w:hint="eastAsia" w:ascii="黑体" w:hAnsi="黑体" w:eastAsia="黑体"/>
          <w:kern w:val="0"/>
          <w:sz w:val="28"/>
          <w:szCs w:val="28"/>
        </w:rPr>
        <w:t>XX</w:t>
      </w:r>
      <w:r>
        <w:rPr>
          <w:rFonts w:hint="eastAsia" w:ascii="黑体" w:hAnsi="黑体" w:eastAsia="黑体" w:cs="黑体"/>
          <w:kern w:val="0"/>
          <w:sz w:val="28"/>
          <w:szCs w:val="28"/>
        </w:rPr>
        <w:t xml:space="preserve">实施    </w:t>
      </w:r>
    </w:p>
    <w:p w14:paraId="36D713D1">
      <w:pPr>
        <w:autoSpaceDE w:val="0"/>
        <w:autoSpaceDN w:val="0"/>
        <w:adjustRightInd w:val="0"/>
        <w:jc w:val="center"/>
        <w:rPr>
          <w:rFonts w:eastAsia="黑体"/>
          <w:kern w:val="0"/>
          <w:szCs w:val="24"/>
        </w:rPr>
      </w:pPr>
      <w:r>
        <w:rPr>
          <w:rFonts w:hint="eastAsia" w:cs="宋体"/>
          <w:b/>
          <w:bCs/>
          <w:kern w:val="0"/>
          <w:sz w:val="44"/>
          <w:szCs w:val="44"/>
        </w:rPr>
        <w:t>国</w:t>
      </w:r>
      <w:r>
        <w:rPr>
          <w:b/>
          <w:bCs/>
          <w:kern w:val="0"/>
          <w:sz w:val="44"/>
          <w:szCs w:val="44"/>
        </w:rPr>
        <w:t xml:space="preserve"> </w:t>
      </w:r>
      <w:r>
        <w:rPr>
          <w:rFonts w:hint="eastAsia" w:cs="宋体"/>
          <w:b/>
          <w:bCs/>
          <w:kern w:val="0"/>
          <w:sz w:val="44"/>
          <w:szCs w:val="44"/>
        </w:rPr>
        <w:t>家</w:t>
      </w:r>
      <w:r>
        <w:rPr>
          <w:b/>
          <w:bCs/>
          <w:kern w:val="0"/>
          <w:sz w:val="44"/>
          <w:szCs w:val="44"/>
        </w:rPr>
        <w:t xml:space="preserve"> </w:t>
      </w:r>
      <w:r>
        <w:rPr>
          <w:rFonts w:hint="eastAsia" w:cs="宋体"/>
          <w:b/>
          <w:bCs/>
          <w:kern w:val="0"/>
          <w:sz w:val="44"/>
          <w:szCs w:val="44"/>
        </w:rPr>
        <w:t>市</w:t>
      </w:r>
      <w:r>
        <w:rPr>
          <w:b/>
          <w:bCs/>
          <w:kern w:val="0"/>
          <w:sz w:val="44"/>
          <w:szCs w:val="44"/>
        </w:rPr>
        <w:t xml:space="preserve"> </w:t>
      </w:r>
      <w:r>
        <w:rPr>
          <w:rFonts w:hint="eastAsia" w:cs="宋体"/>
          <w:b/>
          <w:bCs/>
          <w:kern w:val="0"/>
          <w:sz w:val="44"/>
          <w:szCs w:val="44"/>
        </w:rPr>
        <w:t>场</w:t>
      </w:r>
      <w:r>
        <w:rPr>
          <w:b/>
          <w:bCs/>
          <w:kern w:val="0"/>
          <w:sz w:val="44"/>
          <w:szCs w:val="44"/>
        </w:rPr>
        <w:t xml:space="preserve"> </w:t>
      </w:r>
      <w:r>
        <w:rPr>
          <w:rFonts w:hint="eastAsia" w:cs="宋体"/>
          <w:b/>
          <w:bCs/>
          <w:kern w:val="0"/>
          <w:sz w:val="44"/>
          <w:szCs w:val="44"/>
        </w:rPr>
        <w:t>监</w:t>
      </w:r>
      <w:r>
        <w:rPr>
          <w:b/>
          <w:bCs/>
          <w:kern w:val="0"/>
          <w:sz w:val="44"/>
          <w:szCs w:val="44"/>
        </w:rPr>
        <w:t xml:space="preserve"> </w:t>
      </w:r>
      <w:r>
        <w:rPr>
          <w:rFonts w:hint="eastAsia" w:cs="宋体"/>
          <w:b/>
          <w:bCs/>
          <w:kern w:val="0"/>
          <w:sz w:val="44"/>
          <w:szCs w:val="44"/>
        </w:rPr>
        <w:t>督</w:t>
      </w:r>
      <w:r>
        <w:rPr>
          <w:b/>
          <w:bCs/>
          <w:kern w:val="0"/>
          <w:sz w:val="44"/>
          <w:szCs w:val="44"/>
        </w:rPr>
        <w:t xml:space="preserve"> </w:t>
      </w:r>
      <w:r>
        <w:rPr>
          <w:rFonts w:hint="eastAsia" w:cs="宋体"/>
          <w:b/>
          <w:bCs/>
          <w:kern w:val="0"/>
          <w:sz w:val="44"/>
          <w:szCs w:val="44"/>
        </w:rPr>
        <w:t>管</w:t>
      </w:r>
      <w:r>
        <w:rPr>
          <w:b/>
          <w:bCs/>
          <w:kern w:val="0"/>
          <w:sz w:val="44"/>
          <w:szCs w:val="44"/>
        </w:rPr>
        <w:t xml:space="preserve"> </w:t>
      </w:r>
      <w:r>
        <w:rPr>
          <w:rFonts w:hint="eastAsia" w:cs="宋体"/>
          <w:b/>
          <w:bCs/>
          <w:kern w:val="0"/>
          <w:sz w:val="44"/>
          <w:szCs w:val="44"/>
        </w:rPr>
        <w:t>理</w:t>
      </w:r>
      <w:r>
        <w:rPr>
          <w:b/>
          <w:bCs/>
          <w:kern w:val="0"/>
          <w:sz w:val="44"/>
          <w:szCs w:val="44"/>
        </w:rPr>
        <w:t xml:space="preserve"> </w:t>
      </w:r>
      <w:r>
        <w:rPr>
          <w:rFonts w:hint="eastAsia" w:cs="宋体"/>
          <w:b/>
          <w:bCs/>
          <w:kern w:val="0"/>
          <w:sz w:val="44"/>
          <w:szCs w:val="44"/>
        </w:rPr>
        <w:t>总</w:t>
      </w:r>
      <w:r>
        <w:rPr>
          <w:b/>
          <w:bCs/>
          <w:kern w:val="0"/>
          <w:sz w:val="44"/>
          <w:szCs w:val="44"/>
        </w:rPr>
        <w:t xml:space="preserve"> </w:t>
      </w:r>
      <w:r>
        <w:rPr>
          <w:rFonts w:hint="eastAsia" w:cs="宋体"/>
          <w:b/>
          <w:bCs/>
          <w:kern w:val="0"/>
          <w:sz w:val="44"/>
          <w:szCs w:val="44"/>
        </w:rPr>
        <w:t>局</w:t>
      </w:r>
      <w:r>
        <w:rPr>
          <w:kern w:val="0"/>
          <w:sz w:val="44"/>
          <w:szCs w:val="44"/>
        </w:rPr>
        <w:t xml:space="preserve"> </w:t>
      </w:r>
      <w:r>
        <w:rPr>
          <w:rFonts w:hint="eastAsia" w:eastAsia="黑体" w:cs="黑体"/>
          <w:kern w:val="0"/>
          <w:sz w:val="28"/>
          <w:szCs w:val="28"/>
        </w:rPr>
        <w:t>发</w:t>
      </w:r>
      <w:r>
        <w:rPr>
          <w:rFonts w:eastAsia="黑体"/>
          <w:kern w:val="0"/>
          <w:sz w:val="28"/>
          <w:szCs w:val="28"/>
        </w:rPr>
        <w:t xml:space="preserve"> </w:t>
      </w:r>
      <w:r>
        <w:rPr>
          <w:rFonts w:hint="eastAsia" w:eastAsia="黑体" w:cs="黑体"/>
          <w:kern w:val="0"/>
          <w:sz w:val="28"/>
          <w:szCs w:val="28"/>
        </w:rPr>
        <w:t>布</w:t>
      </w:r>
    </w:p>
    <w:p w14:paraId="741FFF6E">
      <w:pPr>
        <w:autoSpaceDE w:val="0"/>
        <w:autoSpaceDN w:val="0"/>
        <w:adjustRightInd w:val="0"/>
        <w:jc w:val="left"/>
        <w:rPr>
          <w:rFonts w:eastAsia="黑体"/>
          <w:kern w:val="0"/>
          <w:sz w:val="12"/>
          <w:szCs w:val="12"/>
        </w:rPr>
        <w:sectPr>
          <w:headerReference r:id="rId5" w:type="default"/>
          <w:footerReference r:id="rId7" w:type="default"/>
          <w:headerReference r:id="rId6" w:type="even"/>
          <w:pgSz w:w="11906" w:h="16838"/>
          <w:pgMar w:top="1469" w:right="1134" w:bottom="1440" w:left="1531" w:header="851" w:footer="992" w:gutter="0"/>
          <w:pgNumType w:start="1"/>
          <w:cols w:space="720" w:num="1"/>
          <w:docGrid w:type="lines" w:linePitch="312" w:charSpace="0"/>
        </w:sectPr>
      </w:pPr>
    </w:p>
    <w:p w14:paraId="0A971C3F">
      <w:pPr>
        <w:autoSpaceDE w:val="0"/>
        <w:autoSpaceDN w:val="0"/>
        <w:adjustRightInd w:val="0"/>
        <w:jc w:val="left"/>
        <w:rPr>
          <w:rFonts w:eastAsia="黑体"/>
          <w:kern w:val="0"/>
          <w:sz w:val="20"/>
          <w:szCs w:val="20"/>
        </w:rPr>
      </w:pPr>
      <w: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ragraph">
                  <wp:posOffset>76835</wp:posOffset>
                </wp:positionV>
                <wp:extent cx="3814445" cy="1671320"/>
                <wp:effectExtent l="0" t="0" r="0" b="5080"/>
                <wp:wrapNone/>
                <wp:docPr id="20" name="Text Box 30"/>
                <wp:cNvGraphicFramePr/>
                <a:graphic xmlns:a="http://schemas.openxmlformats.org/drawingml/2006/main">
                  <a:graphicData uri="http://schemas.microsoft.com/office/word/2010/wordprocessingShape">
                    <wps:wsp>
                      <wps:cNvSpPr txBox="1">
                        <a:spLocks noChangeArrowheads="1"/>
                      </wps:cNvSpPr>
                      <wps:spPr bwMode="auto">
                        <a:xfrm>
                          <a:off x="0" y="0"/>
                          <a:ext cx="3814445" cy="1671638"/>
                        </a:xfrm>
                        <a:prstGeom prst="rect">
                          <a:avLst/>
                        </a:prstGeom>
                        <a:solidFill>
                          <a:srgbClr val="FFFFFF"/>
                        </a:solidFill>
                        <a:ln>
                          <a:noFill/>
                        </a:ln>
                        <a:effectLst/>
                      </wps:spPr>
                      <wps:txbx>
                        <w:txbxContent>
                          <w:p w14:paraId="0CA1058D">
                            <w:pPr>
                              <w:jc w:val="center"/>
                              <w:rPr>
                                <w:rFonts w:ascii="黑体" w:eastAsia="黑体" w:cs="黑体"/>
                                <w:kern w:val="0"/>
                                <w:sz w:val="44"/>
                                <w:szCs w:val="44"/>
                              </w:rPr>
                            </w:pPr>
                            <w:r>
                              <w:rPr>
                                <w:rFonts w:hint="eastAsia" w:ascii="黑体" w:eastAsia="黑体" w:cs="黑体"/>
                                <w:kern w:val="0"/>
                                <w:sz w:val="44"/>
                                <w:szCs w:val="44"/>
                              </w:rPr>
                              <w:t>非对称流动场场流仪</w:t>
                            </w:r>
                          </w:p>
                          <w:p w14:paraId="48202163">
                            <w:pPr>
                              <w:jc w:val="center"/>
                              <w:rPr>
                                <w:rFonts w:eastAsia="黑体"/>
                                <w:kern w:val="0"/>
                                <w:sz w:val="44"/>
                                <w:szCs w:val="44"/>
                              </w:rPr>
                            </w:pPr>
                            <w:r>
                              <w:rPr>
                                <w:rFonts w:hint="eastAsia" w:ascii="黑体" w:eastAsia="黑体" w:cs="黑体"/>
                                <w:kern w:val="0"/>
                                <w:sz w:val="44"/>
                                <w:szCs w:val="44"/>
                              </w:rPr>
                              <w:t>校准规范</w:t>
                            </w:r>
                          </w:p>
                          <w:p w14:paraId="2C62600F">
                            <w:pPr>
                              <w:jc w:val="center"/>
                              <w:rPr>
                                <w:sz w:val="28"/>
                                <w:szCs w:val="28"/>
                              </w:rPr>
                            </w:pPr>
                            <w:bookmarkStart w:id="63" w:name="_Toc192461003"/>
                            <w:r>
                              <w:rPr>
                                <w:sz w:val="28"/>
                                <w:szCs w:val="28"/>
                              </w:rPr>
                              <w:t xml:space="preserve">Calibration Specification for Asymmetric </w:t>
                            </w:r>
                            <w:r>
                              <w:rPr>
                                <w:rFonts w:hint="eastAsia"/>
                                <w:sz w:val="28"/>
                                <w:szCs w:val="28"/>
                              </w:rPr>
                              <w:t xml:space="preserve">Flow </w:t>
                            </w:r>
                            <w:r>
                              <w:rPr>
                                <w:sz w:val="28"/>
                                <w:szCs w:val="28"/>
                              </w:rPr>
                              <w:t>Field-Flow Fractionation</w:t>
                            </w:r>
                            <w:bookmarkEnd w:id="63"/>
                          </w:p>
                        </w:txbxContent>
                      </wps:txbx>
                      <wps:bodyPr rot="0" vert="horz" wrap="square" lIns="91440" tIns="45720" rIns="91440" bIns="45720" anchor="t" anchorCtr="0" upright="1">
                        <a:noAutofit/>
                      </wps:bodyPr>
                    </wps:wsp>
                  </a:graphicData>
                </a:graphic>
              </wp:anchor>
            </w:drawing>
          </mc:Choice>
          <mc:Fallback>
            <w:pict>
              <v:shape id="Text Box 30" o:spid="_x0000_s1026" o:spt="202" type="#_x0000_t202" style="position:absolute;left:0pt;margin-top:6.05pt;height:131.6pt;width:300.35pt;mso-position-horizontal:left;mso-position-horizontal-relative:margin;z-index:251659264;mso-width-relative:page;mso-height-relative:page;" fillcolor="#FFFFFF" filled="t" stroked="f" coordsize="21600,21600" o:gfxdata="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k6LTB9UA&#10;AAAHAQAADwAAAAAAAAABACAAAAAiAAAAZHJzL2Rvd25yZXYueG1sUEsBAhQAFAAAAAgAh07iQOea&#10;ZUsiAgAATgQAAA4AAAAAAAAAAQAgAAAAJAEAAGRycy9lMm9Eb2MueG1sUEsFBgAAAAAGAAYAWQEA&#10;ALgFAAAAAA==&#10;">
                <v:fill on="t" focussize="0,0"/>
                <v:stroke on="f"/>
                <v:imagedata o:title=""/>
                <o:lock v:ext="edit" aspectratio="f"/>
                <v:textbox>
                  <w:txbxContent>
                    <w:p w14:paraId="0CA1058D">
                      <w:pPr>
                        <w:jc w:val="center"/>
                        <w:rPr>
                          <w:rFonts w:ascii="黑体" w:eastAsia="黑体" w:cs="黑体"/>
                          <w:kern w:val="0"/>
                          <w:sz w:val="44"/>
                          <w:szCs w:val="44"/>
                        </w:rPr>
                      </w:pPr>
                      <w:r>
                        <w:rPr>
                          <w:rFonts w:hint="eastAsia" w:ascii="黑体" w:eastAsia="黑体" w:cs="黑体"/>
                          <w:kern w:val="0"/>
                          <w:sz w:val="44"/>
                          <w:szCs w:val="44"/>
                        </w:rPr>
                        <w:t>非对称流动场场流仪</w:t>
                      </w:r>
                    </w:p>
                    <w:p w14:paraId="48202163">
                      <w:pPr>
                        <w:jc w:val="center"/>
                        <w:rPr>
                          <w:rFonts w:eastAsia="黑体"/>
                          <w:kern w:val="0"/>
                          <w:sz w:val="44"/>
                          <w:szCs w:val="44"/>
                        </w:rPr>
                      </w:pPr>
                      <w:r>
                        <w:rPr>
                          <w:rFonts w:hint="eastAsia" w:ascii="黑体" w:eastAsia="黑体" w:cs="黑体"/>
                          <w:kern w:val="0"/>
                          <w:sz w:val="44"/>
                          <w:szCs w:val="44"/>
                        </w:rPr>
                        <w:t>校准规范</w:t>
                      </w:r>
                    </w:p>
                    <w:p w14:paraId="2C62600F">
                      <w:pPr>
                        <w:jc w:val="center"/>
                        <w:rPr>
                          <w:sz w:val="28"/>
                          <w:szCs w:val="28"/>
                        </w:rPr>
                      </w:pPr>
                      <w:bookmarkStart w:id="63" w:name="_Toc192461003"/>
                      <w:r>
                        <w:rPr>
                          <w:sz w:val="28"/>
                          <w:szCs w:val="28"/>
                        </w:rPr>
                        <w:t xml:space="preserve">Calibration Specification for Asymmetric </w:t>
                      </w:r>
                      <w:r>
                        <w:rPr>
                          <w:rFonts w:hint="eastAsia"/>
                          <w:sz w:val="28"/>
                          <w:szCs w:val="28"/>
                        </w:rPr>
                        <w:t xml:space="preserve">Flow </w:t>
                      </w:r>
                      <w:r>
                        <w:rPr>
                          <w:sz w:val="28"/>
                          <w:szCs w:val="28"/>
                        </w:rPr>
                        <w:t>Field-Flow Fractionation</w:t>
                      </w:r>
                      <w:bookmarkEnd w:id="63"/>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column">
                  <wp:posOffset>3813175</wp:posOffset>
                </wp:positionH>
                <wp:positionV relativeFrom="paragraph">
                  <wp:posOffset>143510</wp:posOffset>
                </wp:positionV>
                <wp:extent cx="1946275" cy="1013460"/>
                <wp:effectExtent l="0" t="0" r="15875" b="15240"/>
                <wp:wrapNone/>
                <wp:docPr id="19" name="Text Box 29"/>
                <wp:cNvGraphicFramePr/>
                <a:graphic xmlns:a="http://schemas.openxmlformats.org/drawingml/2006/main">
                  <a:graphicData uri="http://schemas.microsoft.com/office/word/2010/wordprocessingShape">
                    <wps:wsp>
                      <wps:cNvSpPr txBox="1">
                        <a:spLocks noChangeArrowheads="1"/>
                      </wps:cNvSpPr>
                      <wps:spPr bwMode="auto">
                        <a:xfrm>
                          <a:off x="0" y="0"/>
                          <a:ext cx="1946275" cy="1013460"/>
                        </a:xfrm>
                        <a:prstGeom prst="rect">
                          <a:avLst/>
                        </a:prstGeom>
                        <a:solidFill>
                          <a:srgbClr val="FFFFFF"/>
                        </a:solidFill>
                        <a:ln w="9525" cap="rnd">
                          <a:solidFill>
                            <a:srgbClr val="000000"/>
                          </a:solidFill>
                          <a:prstDash val="sysDot"/>
                          <a:miter lim="800000"/>
                        </a:ln>
                        <a:effectLst/>
                      </wps:spPr>
                      <wps:txbx>
                        <w:txbxContent>
                          <w:p w14:paraId="43738B14"/>
                          <w:p w14:paraId="42AB5076">
                            <w:pPr>
                              <w:jc w:val="center"/>
                              <w:rPr>
                                <w:rFonts w:ascii="黑体" w:hAnsi="黑体" w:eastAsia="黑体"/>
                                <w:b/>
                                <w:bCs/>
                                <w:sz w:val="28"/>
                                <w:szCs w:val="28"/>
                              </w:rPr>
                            </w:pPr>
                            <w:r>
                              <w:rPr>
                                <w:rFonts w:ascii="黑体" w:hAnsi="黑体" w:eastAsia="黑体" w:cs="黑体"/>
                                <w:b/>
                                <w:bCs/>
                                <w:sz w:val="28"/>
                                <w:szCs w:val="28"/>
                              </w:rPr>
                              <w:t xml:space="preserve">JJF </w:t>
                            </w:r>
                            <w:r>
                              <w:rPr>
                                <w:rFonts w:hint="eastAsia" w:ascii="黑体" w:hAnsi="黑体" w:eastAsia="黑体" w:cs="黑体"/>
                                <w:b/>
                                <w:bCs/>
                                <w:sz w:val="28"/>
                                <w:szCs w:val="28"/>
                              </w:rPr>
                              <w:t>XXXX</w:t>
                            </w:r>
                            <w:r>
                              <w:rPr>
                                <w:rFonts w:hint="eastAsia" w:ascii="黑体" w:hAnsi="黑体" w:eastAsia="黑体" w:cs="黑体"/>
                                <w:kern w:val="0"/>
                                <w:sz w:val="28"/>
                                <w:szCs w:val="28"/>
                              </w:rPr>
                              <w:t>─</w:t>
                            </w:r>
                            <w:r>
                              <w:rPr>
                                <w:rFonts w:hint="eastAsia" w:ascii="黑体" w:hAnsi="黑体" w:eastAsia="黑体" w:cs="黑体"/>
                                <w:b/>
                                <w:bCs/>
                                <w:sz w:val="28"/>
                                <w:szCs w:val="28"/>
                              </w:rPr>
                              <w:t>XXXX</w:t>
                            </w:r>
                          </w:p>
                        </w:txbxContent>
                      </wps:txbx>
                      <wps:bodyPr rot="0" vert="horz" wrap="square" lIns="91440" tIns="45720" rIns="91440" bIns="45720" anchor="t" anchorCtr="0" upright="1">
                        <a:noAutofit/>
                      </wps:bodyPr>
                    </wps:wsp>
                  </a:graphicData>
                </a:graphic>
              </wp:anchor>
            </w:drawing>
          </mc:Choice>
          <mc:Fallback>
            <w:pict>
              <v:shape id="Text Box 29" o:spid="_x0000_s1026" o:spt="202" type="#_x0000_t202" style="position:absolute;left:0pt;margin-left:300.25pt;margin-top:11.3pt;height:79.8pt;width:153.25pt;z-index:251660288;mso-width-relative:page;mso-height-relative:page;" fillcolor="#FFFFFF" filled="t" stroked="t" coordsize="21600,21600" o:gfxdata="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JvSOs2QAAAAoBAAAPAAAA&#10;AAAAAAEAIAAAACIAAABkcnMvZG93bnJldi54bWxQSwECFAAUAAAACACHTuJAyQWM0U0CAAC7BAAA&#10;DgAAAAAAAAABACAAAAAoAQAAZHJzL2Uyb0RvYy54bWxQSwUGAAAAAAYABgBZAQAA5wUAAAAA&#10;">
                <v:fill on="t" focussize="0,0"/>
                <v:stroke color="#000000" miterlimit="8" joinstyle="miter" dashstyle="1 1" endcap="round"/>
                <v:imagedata o:title=""/>
                <o:lock v:ext="edit" aspectratio="f"/>
                <v:textbox>
                  <w:txbxContent>
                    <w:p w14:paraId="43738B14"/>
                    <w:p w14:paraId="42AB5076">
                      <w:pPr>
                        <w:jc w:val="center"/>
                        <w:rPr>
                          <w:rFonts w:ascii="黑体" w:hAnsi="黑体" w:eastAsia="黑体"/>
                          <w:b/>
                          <w:bCs/>
                          <w:sz w:val="28"/>
                          <w:szCs w:val="28"/>
                        </w:rPr>
                      </w:pPr>
                      <w:r>
                        <w:rPr>
                          <w:rFonts w:ascii="黑体" w:hAnsi="黑体" w:eastAsia="黑体" w:cs="黑体"/>
                          <w:b/>
                          <w:bCs/>
                          <w:sz w:val="28"/>
                          <w:szCs w:val="28"/>
                        </w:rPr>
                        <w:t xml:space="preserve">JJF </w:t>
                      </w:r>
                      <w:r>
                        <w:rPr>
                          <w:rFonts w:hint="eastAsia" w:ascii="黑体" w:hAnsi="黑体" w:eastAsia="黑体" w:cs="黑体"/>
                          <w:b/>
                          <w:bCs/>
                          <w:sz w:val="28"/>
                          <w:szCs w:val="28"/>
                        </w:rPr>
                        <w:t>XXXX</w:t>
                      </w:r>
                      <w:r>
                        <w:rPr>
                          <w:rFonts w:hint="eastAsia" w:ascii="黑体" w:hAnsi="黑体" w:eastAsia="黑体" w:cs="黑体"/>
                          <w:kern w:val="0"/>
                          <w:sz w:val="28"/>
                          <w:szCs w:val="28"/>
                        </w:rPr>
                        <w:t>─</w:t>
                      </w:r>
                      <w:r>
                        <w:rPr>
                          <w:rFonts w:hint="eastAsia" w:ascii="黑体" w:hAnsi="黑体" w:eastAsia="黑体" w:cs="黑体"/>
                          <w:b/>
                          <w:bCs/>
                          <w:sz w:val="28"/>
                          <w:szCs w:val="28"/>
                        </w:rPr>
                        <w:t>XXXX</w:t>
                      </w:r>
                    </w:p>
                  </w:txbxContent>
                </v:textbox>
                <w10:anchorlock/>
              </v:shape>
            </w:pict>
          </mc:Fallback>
        </mc:AlternateContent>
      </w:r>
      <w:r>
        <w:rPr>
          <w:rFonts w:eastAsia="黑体"/>
          <w:kern w:val="0"/>
          <w:sz w:val="28"/>
          <w:szCs w:val="28"/>
        </w:rPr>
        <w:t xml:space="preserve"> </w:t>
      </w:r>
      <w:r>
        <w:rPr>
          <w:rFonts w:eastAsia="黑体"/>
          <w:kern w:val="0"/>
          <w:sz w:val="28"/>
          <w:szCs w:val="28"/>
        </w:rPr>
        <mc:AlternateContent>
          <mc:Choice Requires="wpg">
            <w:drawing>
              <wp:inline distT="0" distB="0" distL="0" distR="0">
                <wp:extent cx="2514600" cy="1485900"/>
                <wp:effectExtent l="0" t="1905" r="0" b="0"/>
                <wp:docPr id="4" name="Group 19"/>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514600" cy="1485900"/>
                          <a:chOff x="0" y="0"/>
                          <a:chExt cx="39" cy="23402"/>
                        </a:xfrm>
                      </wpg:grpSpPr>
                      <wps:wsp>
                        <wps:cNvPr id="5" name="AutoShape 20"/>
                        <wps:cNvSpPr>
                          <a:spLocks noChangeAspect="1" noChangeArrowheads="1" noTextEdit="1"/>
                        </wps:cNvSpPr>
                        <wps:spPr bwMode="auto">
                          <a:xfrm>
                            <a:off x="0" y="0"/>
                            <a:ext cx="39" cy="23"/>
                          </a:xfrm>
                          <a:prstGeom prst="rect">
                            <a:avLst/>
                          </a:prstGeom>
                          <a:noFill/>
                          <a:ln>
                            <a:noFill/>
                          </a:ln>
                        </wps:spPr>
                        <wps:bodyPr rot="0" vert="horz" wrap="square" lIns="91440" tIns="45720" rIns="91440" bIns="45720" anchor="t" anchorCtr="0" upright="1">
                          <a:noAutofit/>
                        </wps:bodyPr>
                      </wps:wsp>
                    </wpg:wgp>
                  </a:graphicData>
                </a:graphic>
              </wp:inline>
            </w:drawing>
          </mc:Choice>
          <mc:Fallback>
            <w:pict>
              <v:group id="Group 19" o:spid="_x0000_s1026" o:spt="203" style="height:117pt;width:198pt;" coordsize="39,23402" o:gfxdata="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N1bv/VAAAABQEAAA8AAAAAAAAAAQAgAAAAIgAAAGRycy9kb3ducmV2LnhtbFBLAQIUABQA&#10;AAAIAIdO4kDx1/5aZQIAAHYFAAAOAAAAAAAAAAEAIAAAACQBAABkcnMvZTJvRG9jLnhtbFBLBQYA&#10;AAAABgAGAFkBAAD7BQAAAAA=&#10;">
                <o:lock v:ext="edit" aspectratio="t"/>
                <v:rect id="AutoShape 20" o:spid="_x0000_s1026" o:spt="1" style="position:absolute;left:0;top:0;height:23;width:39;"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text="t" aspectratio="t"/>
                </v:rect>
                <w10:wrap type="none"/>
                <w10:anchorlock/>
              </v:group>
            </w:pict>
          </mc:Fallback>
        </mc:AlternateContent>
      </w:r>
      <w:r>
        <w:rPr>
          <w:rFonts w:eastAsia="黑体"/>
          <w:kern w:val="0"/>
          <w:sz w:val="20"/>
          <w:szCs w:val="20"/>
        </w:rPr>
        <w:t xml:space="preserve">    </w:t>
      </w:r>
    </w:p>
    <w:p w14:paraId="622344F9">
      <w:pPr>
        <w:autoSpaceDE w:val="0"/>
        <w:autoSpaceDN w:val="0"/>
        <w:adjustRightInd w:val="0"/>
        <w:jc w:val="left"/>
        <w:rPr>
          <w:kern w:val="0"/>
          <w:sz w:val="28"/>
          <w:szCs w:val="28"/>
        </w:rPr>
      </w:pPr>
    </w:p>
    <w:p w14:paraId="7E19E51C">
      <w:pPr>
        <w:autoSpaceDE w:val="0"/>
        <w:autoSpaceDN w:val="0"/>
        <w:adjustRightInd w:val="0"/>
        <w:jc w:val="left"/>
        <w:rPr>
          <w:rFonts w:eastAsia="黑体"/>
          <w:kern w:val="0"/>
          <w:sz w:val="28"/>
          <w:szCs w:val="28"/>
        </w:rPr>
      </w:pPr>
      <w:r>
        <w:rPr>
          <w:rFonts w:eastAsia="黑体"/>
          <w:kern w:val="0"/>
          <w:sz w:val="20"/>
          <w:szCs w:val="20"/>
        </w:rPr>
        <mc:AlternateContent>
          <mc:Choice Requires="wpg">
            <w:drawing>
              <wp:inline distT="0" distB="0" distL="0" distR="0">
                <wp:extent cx="5760720" cy="298450"/>
                <wp:effectExtent l="7620" t="9525" r="13335" b="0"/>
                <wp:docPr id="1" name="Group 16"/>
                <wp:cNvGraphicFramePr/>
                <a:graphic xmlns:a="http://schemas.openxmlformats.org/drawingml/2006/main">
                  <a:graphicData uri="http://schemas.microsoft.com/office/word/2010/wordprocessingGroup">
                    <wpg:wgp>
                      <wpg:cNvGrpSpPr/>
                      <wpg:grpSpPr>
                        <a:xfrm>
                          <a:off x="0" y="0"/>
                          <a:ext cx="5760720" cy="298450"/>
                          <a:chOff x="0" y="0"/>
                          <a:chExt cx="7200" cy="272203"/>
                        </a:xfrm>
                      </wpg:grpSpPr>
                      <wps:wsp>
                        <wps:cNvPr id="2" name="AutoShape 17"/>
                        <wps:cNvSpPr>
                          <a:spLocks noChangeAspect="1" noChangeArrowheads="1" noTextEdit="1"/>
                        </wps:cNvSpPr>
                        <wps:spPr bwMode="auto">
                          <a:xfrm>
                            <a:off x="0" y="0"/>
                            <a:ext cx="7200" cy="272"/>
                          </a:xfrm>
                          <a:prstGeom prst="rect">
                            <a:avLst/>
                          </a:prstGeom>
                          <a:noFill/>
                          <a:ln>
                            <a:noFill/>
                          </a:ln>
                        </wps:spPr>
                        <wps:bodyPr rot="0" vert="horz" wrap="square" lIns="91440" tIns="45720" rIns="91440" bIns="45720" anchor="t" anchorCtr="0" upright="1">
                          <a:noAutofit/>
                        </wps:bodyPr>
                      </wps:wsp>
                      <wps:wsp>
                        <wps:cNvPr id="3" name="Line 18"/>
                        <wps:cNvCnPr>
                          <a:cxnSpLocks noChangeShapeType="1"/>
                        </wps:cNvCnPr>
                        <wps:spPr bwMode="auto">
                          <a:xfrm>
                            <a:off x="0" y="136"/>
                            <a:ext cx="7200" cy="1"/>
                          </a:xfrm>
                          <a:prstGeom prst="line">
                            <a:avLst/>
                          </a:prstGeom>
                          <a:noFill/>
                          <a:ln w="9525">
                            <a:solidFill>
                              <a:srgbClr val="000000"/>
                            </a:solidFill>
                            <a:round/>
                          </a:ln>
                        </wps:spPr>
                        <wps:bodyPr/>
                      </wps:wsp>
                    </wpg:wgp>
                  </a:graphicData>
                </a:graphic>
              </wp:inline>
            </w:drawing>
          </mc:Choice>
          <mc:Fallback>
            <w:pict>
              <v:group id="Group 16" o:spid="_x0000_s1026" o:spt="203" style="height:23.5pt;width:453.6pt;" coordsize="7200,272203" o:gfxdata="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Hu604nW&#10;AAAABAEAAA8AAAAAAAAAAQAgAAAAIgAAAGRycy9kb3ducmV2LnhtbFBLAQIUABQAAAAIAIdO4kBr&#10;4X2bzQIAAAoHAAAOAAAAAAAAAAEAIAAAACUBAABkcnMvZTJvRG9jLnhtbFBLBQYAAAAABgAGAFkB&#10;AABkBgAAAAA=&#10;">
                <o:lock v:ext="edit" aspectratio="f"/>
                <v:rect id="AutoShape 17" o:spid="_x0000_s1026" o:spt="1" style="position:absolute;left:0;top:0;height:272;width:7200;"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text="t" aspectratio="t"/>
                </v:rect>
                <v:line id="Line 18" o:spid="_x0000_s1026" o:spt="20" style="position:absolute;left:0;top:136;height:1;width:7200;" filled="f" stroked="t" coordsize="21600,21600" o:gfxdata="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etGi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w10:wrap type="none"/>
                <w10:anchorlock/>
              </v:group>
            </w:pict>
          </mc:Fallback>
        </mc:AlternateContent>
      </w:r>
    </w:p>
    <w:p w14:paraId="42776F83">
      <w:pPr>
        <w:autoSpaceDE w:val="0"/>
        <w:autoSpaceDN w:val="0"/>
        <w:adjustRightInd w:val="0"/>
        <w:ind w:firstLine="560" w:firstLineChars="200"/>
        <w:jc w:val="left"/>
        <w:rPr>
          <w:rFonts w:eastAsia="黑体"/>
          <w:kern w:val="0"/>
          <w:sz w:val="28"/>
          <w:szCs w:val="28"/>
        </w:rPr>
      </w:pPr>
    </w:p>
    <w:p w14:paraId="7AFDD6AB">
      <w:pPr>
        <w:autoSpaceDE w:val="0"/>
        <w:autoSpaceDN w:val="0"/>
        <w:adjustRightInd w:val="0"/>
        <w:ind w:firstLine="560" w:firstLineChars="200"/>
        <w:jc w:val="left"/>
        <w:rPr>
          <w:rFonts w:eastAsia="黑体"/>
          <w:kern w:val="0"/>
          <w:sz w:val="28"/>
          <w:szCs w:val="28"/>
        </w:rPr>
      </w:pPr>
    </w:p>
    <w:p w14:paraId="77215567">
      <w:pPr>
        <w:autoSpaceDE w:val="0"/>
        <w:autoSpaceDN w:val="0"/>
        <w:adjustRightInd w:val="0"/>
        <w:ind w:firstLine="560" w:firstLineChars="200"/>
        <w:jc w:val="left"/>
        <w:rPr>
          <w:rFonts w:eastAsia="黑体"/>
          <w:kern w:val="0"/>
          <w:sz w:val="28"/>
          <w:szCs w:val="28"/>
        </w:rPr>
      </w:pPr>
    </w:p>
    <w:p w14:paraId="54D65737">
      <w:pPr>
        <w:autoSpaceDE w:val="0"/>
        <w:autoSpaceDN w:val="0"/>
        <w:adjustRightInd w:val="0"/>
        <w:ind w:firstLine="840" w:firstLineChars="300"/>
        <w:jc w:val="left"/>
        <w:rPr>
          <w:rFonts w:eastAsia="黑体"/>
          <w:kern w:val="0"/>
          <w:sz w:val="28"/>
          <w:szCs w:val="28"/>
        </w:rPr>
      </w:pPr>
      <w:r>
        <w:rPr>
          <w:rFonts w:hint="eastAsia" w:eastAsia="黑体" w:cs="黑体"/>
          <w:kern w:val="0"/>
          <w:sz w:val="28"/>
          <w:szCs w:val="28"/>
        </w:rPr>
        <w:t>归</w:t>
      </w:r>
      <w:r>
        <w:rPr>
          <w:rFonts w:eastAsia="黑体"/>
          <w:kern w:val="0"/>
          <w:sz w:val="28"/>
          <w:szCs w:val="28"/>
        </w:rPr>
        <w:t xml:space="preserve"> </w:t>
      </w:r>
      <w:r>
        <w:rPr>
          <w:rFonts w:hint="eastAsia" w:eastAsia="黑体"/>
          <w:kern w:val="0"/>
          <w:sz w:val="28"/>
          <w:szCs w:val="28"/>
        </w:rPr>
        <w:t xml:space="preserve"> </w:t>
      </w:r>
      <w:r>
        <w:rPr>
          <w:rFonts w:eastAsia="黑体"/>
          <w:kern w:val="0"/>
          <w:sz w:val="28"/>
          <w:szCs w:val="28"/>
        </w:rPr>
        <w:t xml:space="preserve"> </w:t>
      </w:r>
      <w:r>
        <w:rPr>
          <w:rFonts w:hint="eastAsia" w:eastAsia="黑体" w:cs="黑体"/>
          <w:kern w:val="0"/>
          <w:sz w:val="28"/>
          <w:szCs w:val="28"/>
        </w:rPr>
        <w:t xml:space="preserve">口 </w:t>
      </w:r>
      <w:r>
        <w:rPr>
          <w:rFonts w:eastAsia="黑体"/>
          <w:kern w:val="0"/>
          <w:sz w:val="28"/>
          <w:szCs w:val="28"/>
        </w:rPr>
        <w:t xml:space="preserve"> </w:t>
      </w:r>
      <w:r>
        <w:rPr>
          <w:rFonts w:hint="eastAsia" w:eastAsia="黑体"/>
          <w:kern w:val="0"/>
          <w:sz w:val="28"/>
          <w:szCs w:val="28"/>
        </w:rPr>
        <w:t xml:space="preserve"> </w:t>
      </w:r>
      <w:r>
        <w:rPr>
          <w:rFonts w:hint="eastAsia" w:eastAsia="黑体" w:cs="黑体"/>
          <w:kern w:val="0"/>
          <w:sz w:val="28"/>
          <w:szCs w:val="28"/>
        </w:rPr>
        <w:t xml:space="preserve">单 </w:t>
      </w:r>
      <w:r>
        <w:rPr>
          <w:rFonts w:eastAsia="黑体"/>
          <w:kern w:val="0"/>
          <w:sz w:val="28"/>
          <w:szCs w:val="28"/>
        </w:rPr>
        <w:t xml:space="preserve"> </w:t>
      </w:r>
      <w:r>
        <w:rPr>
          <w:rFonts w:hint="eastAsia" w:eastAsia="黑体"/>
          <w:kern w:val="0"/>
          <w:sz w:val="28"/>
          <w:szCs w:val="28"/>
        </w:rPr>
        <w:t xml:space="preserve"> </w:t>
      </w:r>
      <w:r>
        <w:rPr>
          <w:rFonts w:hint="eastAsia" w:eastAsia="黑体" w:cs="黑体"/>
          <w:kern w:val="0"/>
          <w:sz w:val="28"/>
          <w:szCs w:val="28"/>
        </w:rPr>
        <w:t>位：</w:t>
      </w:r>
      <w:r>
        <w:rPr>
          <w:rFonts w:hint="eastAsia" w:eastAsia="黑体" w:cs="黑体"/>
          <w:sz w:val="28"/>
          <w:szCs w:val="28"/>
        </w:rPr>
        <w:t>全国新材料与纳米计量技术委员会</w:t>
      </w:r>
    </w:p>
    <w:p w14:paraId="557782F6">
      <w:pPr>
        <w:autoSpaceDE w:val="0"/>
        <w:autoSpaceDN w:val="0"/>
        <w:adjustRightInd w:val="0"/>
        <w:ind w:firstLine="840" w:firstLineChars="300"/>
        <w:jc w:val="left"/>
        <w:rPr>
          <w:rFonts w:eastAsia="黑体"/>
          <w:kern w:val="0"/>
          <w:sz w:val="28"/>
          <w:szCs w:val="28"/>
        </w:rPr>
      </w:pPr>
      <w:r>
        <w:rPr>
          <w:rFonts w:hint="eastAsia" w:eastAsia="黑体" w:cs="黑体"/>
          <w:kern w:val="0"/>
          <w:sz w:val="28"/>
          <w:szCs w:val="28"/>
        </w:rPr>
        <w:t>主要起草单位：中国计量科学研究院</w:t>
      </w:r>
    </w:p>
    <w:p w14:paraId="44656846">
      <w:pPr>
        <w:autoSpaceDE w:val="0"/>
        <w:autoSpaceDN w:val="0"/>
        <w:adjustRightInd w:val="0"/>
        <w:ind w:left="420" w:firstLine="420"/>
        <w:jc w:val="left"/>
        <w:rPr>
          <w:rFonts w:eastAsia="黑体"/>
          <w:kern w:val="0"/>
          <w:sz w:val="28"/>
          <w:szCs w:val="28"/>
        </w:rPr>
      </w:pPr>
      <w:r>
        <w:rPr>
          <w:rFonts w:hint="eastAsia" w:eastAsia="黑体" w:cs="黑体"/>
          <w:kern w:val="0"/>
          <w:sz w:val="28"/>
          <w:szCs w:val="28"/>
        </w:rPr>
        <w:t>参加起草单位：</w:t>
      </w:r>
    </w:p>
    <w:p w14:paraId="015E0CD7">
      <w:pPr>
        <w:autoSpaceDE w:val="0"/>
        <w:autoSpaceDN w:val="0"/>
        <w:adjustRightInd w:val="0"/>
        <w:ind w:firstLine="2800" w:firstLineChars="1000"/>
        <w:jc w:val="left"/>
        <w:rPr>
          <w:rFonts w:eastAsia="黑体"/>
          <w:sz w:val="28"/>
          <w:szCs w:val="28"/>
        </w:rPr>
      </w:pPr>
    </w:p>
    <w:p w14:paraId="2D35CDD9">
      <w:pPr>
        <w:autoSpaceDE w:val="0"/>
        <w:autoSpaceDN w:val="0"/>
        <w:adjustRightInd w:val="0"/>
        <w:ind w:firstLine="2800" w:firstLineChars="1000"/>
        <w:jc w:val="left"/>
        <w:rPr>
          <w:rFonts w:eastAsia="黑体"/>
          <w:sz w:val="28"/>
          <w:szCs w:val="28"/>
        </w:rPr>
      </w:pPr>
    </w:p>
    <w:p w14:paraId="032C1A47">
      <w:pPr>
        <w:autoSpaceDE w:val="0"/>
        <w:autoSpaceDN w:val="0"/>
        <w:adjustRightInd w:val="0"/>
        <w:ind w:firstLine="2800" w:firstLineChars="1000"/>
        <w:jc w:val="left"/>
        <w:rPr>
          <w:rFonts w:eastAsia="黑体"/>
          <w:sz w:val="28"/>
          <w:szCs w:val="28"/>
        </w:rPr>
      </w:pPr>
    </w:p>
    <w:p w14:paraId="101F4B8E">
      <w:pPr>
        <w:autoSpaceDE w:val="0"/>
        <w:autoSpaceDN w:val="0"/>
        <w:adjustRightInd w:val="0"/>
        <w:jc w:val="left"/>
        <w:rPr>
          <w:rFonts w:eastAsia="黑体"/>
          <w:kern w:val="0"/>
          <w:sz w:val="20"/>
          <w:szCs w:val="20"/>
        </w:rPr>
      </w:pPr>
    </w:p>
    <w:p w14:paraId="1BA249F3">
      <w:pPr>
        <w:autoSpaceDE w:val="0"/>
        <w:autoSpaceDN w:val="0"/>
        <w:adjustRightInd w:val="0"/>
        <w:jc w:val="left"/>
        <w:rPr>
          <w:rFonts w:eastAsia="黑体"/>
          <w:kern w:val="0"/>
          <w:sz w:val="20"/>
          <w:szCs w:val="20"/>
        </w:rPr>
      </w:pPr>
    </w:p>
    <w:p w14:paraId="3BFBB992">
      <w:pPr>
        <w:autoSpaceDE w:val="0"/>
        <w:autoSpaceDN w:val="0"/>
        <w:adjustRightInd w:val="0"/>
        <w:jc w:val="left"/>
        <w:rPr>
          <w:rFonts w:eastAsia="黑体"/>
          <w:kern w:val="0"/>
          <w:sz w:val="20"/>
          <w:szCs w:val="20"/>
        </w:rPr>
      </w:pPr>
    </w:p>
    <w:p w14:paraId="430AE068">
      <w:pPr>
        <w:autoSpaceDE w:val="0"/>
        <w:autoSpaceDN w:val="0"/>
        <w:adjustRightInd w:val="0"/>
        <w:jc w:val="left"/>
        <w:rPr>
          <w:rFonts w:eastAsia="黑体"/>
          <w:kern w:val="0"/>
          <w:sz w:val="20"/>
          <w:szCs w:val="20"/>
        </w:rPr>
      </w:pPr>
    </w:p>
    <w:p w14:paraId="7698070B">
      <w:pPr>
        <w:autoSpaceDE w:val="0"/>
        <w:autoSpaceDN w:val="0"/>
        <w:adjustRightInd w:val="0"/>
        <w:jc w:val="left"/>
        <w:rPr>
          <w:rFonts w:eastAsia="黑体"/>
          <w:kern w:val="0"/>
          <w:sz w:val="20"/>
          <w:szCs w:val="20"/>
        </w:rPr>
      </w:pPr>
    </w:p>
    <w:p w14:paraId="41533612">
      <w:pPr>
        <w:autoSpaceDE w:val="0"/>
        <w:autoSpaceDN w:val="0"/>
        <w:adjustRightInd w:val="0"/>
        <w:jc w:val="left"/>
        <w:rPr>
          <w:rFonts w:eastAsia="黑体"/>
          <w:kern w:val="0"/>
          <w:sz w:val="20"/>
          <w:szCs w:val="20"/>
        </w:rPr>
      </w:pPr>
    </w:p>
    <w:p w14:paraId="304E1ACB">
      <w:pPr>
        <w:autoSpaceDE w:val="0"/>
        <w:autoSpaceDN w:val="0"/>
        <w:adjustRightInd w:val="0"/>
        <w:rPr>
          <w:kern w:val="0"/>
          <w:sz w:val="28"/>
          <w:szCs w:val="28"/>
        </w:rPr>
      </w:pPr>
    </w:p>
    <w:p w14:paraId="3F66B7CF">
      <w:pPr>
        <w:autoSpaceDE w:val="0"/>
        <w:autoSpaceDN w:val="0"/>
        <w:adjustRightInd w:val="0"/>
        <w:ind w:firstLine="560" w:firstLineChars="200"/>
        <w:rPr>
          <w:rFonts w:eastAsia="黑体"/>
          <w:kern w:val="0"/>
          <w:sz w:val="10"/>
          <w:szCs w:val="10"/>
        </w:rPr>
      </w:pPr>
      <w:r>
        <w:rPr>
          <w:rFonts w:hint="eastAsia" w:cs="宋体"/>
          <w:kern w:val="0"/>
          <w:sz w:val="28"/>
          <w:szCs w:val="28"/>
        </w:rPr>
        <w:t>本规范委托</w:t>
      </w:r>
      <w:r>
        <w:rPr>
          <w:rFonts w:hint="eastAsia" w:cs="宋体"/>
          <w:sz w:val="28"/>
          <w:szCs w:val="28"/>
        </w:rPr>
        <w:t>全国新材料与纳米</w:t>
      </w:r>
      <w:r>
        <w:rPr>
          <w:rFonts w:hint="eastAsia" w:cs="宋体"/>
          <w:kern w:val="0"/>
          <w:sz w:val="28"/>
          <w:szCs w:val="28"/>
        </w:rPr>
        <w:t>计量技</w:t>
      </w:r>
      <w:r>
        <w:rPr>
          <w:rFonts w:hint="eastAsia" w:cs="宋体"/>
          <w:sz w:val="28"/>
          <w:szCs w:val="28"/>
        </w:rPr>
        <w:t>术委员会</w:t>
      </w:r>
      <w:r>
        <w:rPr>
          <w:rFonts w:hint="eastAsia" w:cs="宋体"/>
          <w:kern w:val="0"/>
          <w:sz w:val="28"/>
          <w:szCs w:val="28"/>
        </w:rPr>
        <w:t>负责解释</w:t>
      </w:r>
    </w:p>
    <w:p w14:paraId="62A666C6">
      <w:pPr>
        <w:spacing w:line="680" w:lineRule="exact"/>
        <w:rPr>
          <w:b/>
          <w:bCs/>
          <w:sz w:val="28"/>
          <w:szCs w:val="28"/>
        </w:rPr>
      </w:pPr>
    </w:p>
    <w:p w14:paraId="24C1AD52">
      <w:pPr>
        <w:spacing w:line="680" w:lineRule="exact"/>
        <w:rPr>
          <w:b/>
          <w:bCs/>
          <w:sz w:val="28"/>
          <w:szCs w:val="28"/>
        </w:rPr>
      </w:pPr>
    </w:p>
    <w:p w14:paraId="3C45EB6A">
      <w:pPr>
        <w:ind w:firstLine="560" w:firstLineChars="200"/>
        <w:rPr>
          <w:rFonts w:eastAsia="黑体" w:cs="黑体"/>
          <w:sz w:val="28"/>
          <w:szCs w:val="28"/>
        </w:rPr>
      </w:pPr>
      <w:r>
        <w:rPr>
          <w:rFonts w:hint="eastAsia" w:eastAsia="黑体" w:cs="黑体"/>
          <w:sz w:val="28"/>
          <w:szCs w:val="28"/>
        </w:rPr>
        <w:t>本规范主要起草人：</w:t>
      </w:r>
    </w:p>
    <w:p w14:paraId="3F116C7E">
      <w:pPr>
        <w:ind w:firstLine="1400" w:firstLineChars="500"/>
        <w:rPr>
          <w:rFonts w:eastAsia="黑体" w:cs="黑体"/>
          <w:sz w:val="28"/>
          <w:szCs w:val="28"/>
        </w:rPr>
      </w:pPr>
    </w:p>
    <w:p w14:paraId="05CC6E7F">
      <w:pPr>
        <w:ind w:firstLine="1400" w:firstLineChars="500"/>
        <w:rPr>
          <w:rFonts w:eastAsia="黑体"/>
          <w:sz w:val="28"/>
          <w:szCs w:val="28"/>
        </w:rPr>
      </w:pPr>
      <w:r>
        <w:rPr>
          <w:rFonts w:hint="eastAsia" w:eastAsia="黑体" w:cs="黑体"/>
          <w:sz w:val="28"/>
          <w:szCs w:val="28"/>
        </w:rPr>
        <w:t>参加起草人：</w:t>
      </w:r>
    </w:p>
    <w:p w14:paraId="6B0DAE03">
      <w:pPr>
        <w:spacing w:line="520" w:lineRule="exact"/>
        <w:rPr>
          <w:rFonts w:ascii="黑体" w:hAnsi="黑体" w:eastAsia="黑体"/>
          <w:bCs/>
          <w:sz w:val="28"/>
          <w:szCs w:val="28"/>
        </w:rPr>
      </w:pPr>
    </w:p>
    <w:p w14:paraId="118EBDC1">
      <w:pPr>
        <w:spacing w:line="520" w:lineRule="exact"/>
        <w:jc w:val="center"/>
        <w:rPr>
          <w:rFonts w:eastAsia="黑体"/>
          <w:b/>
          <w:bCs/>
          <w:sz w:val="44"/>
          <w:szCs w:val="44"/>
        </w:rPr>
      </w:pPr>
    </w:p>
    <w:p w14:paraId="2C124718">
      <w:pPr>
        <w:spacing w:line="520" w:lineRule="exact"/>
        <w:rPr>
          <w:rFonts w:eastAsia="黑体"/>
          <w:b/>
          <w:bCs/>
          <w:sz w:val="44"/>
          <w:szCs w:val="44"/>
        </w:rPr>
      </w:pPr>
    </w:p>
    <w:p w14:paraId="543E1D1D">
      <w:pPr>
        <w:spacing w:line="520" w:lineRule="exact"/>
        <w:jc w:val="center"/>
        <w:rPr>
          <w:kern w:val="0"/>
          <w:szCs w:val="24"/>
        </w:rPr>
      </w:pPr>
    </w:p>
    <w:p w14:paraId="6DEFC09E">
      <w:pPr>
        <w:spacing w:line="520" w:lineRule="exact"/>
        <w:jc w:val="center"/>
        <w:rPr>
          <w:kern w:val="0"/>
          <w:szCs w:val="24"/>
        </w:rPr>
        <w:sectPr>
          <w:headerReference r:id="rId8" w:type="default"/>
          <w:footerReference r:id="rId9" w:type="default"/>
          <w:pgSz w:w="11906" w:h="16838"/>
          <w:pgMar w:top="1559" w:right="1134" w:bottom="1440" w:left="1531" w:header="851" w:footer="992" w:gutter="0"/>
          <w:pgNumType w:fmt="upperRoman"/>
          <w:cols w:space="720" w:num="1"/>
          <w:docGrid w:type="linesAndChars" w:linePitch="312" w:charSpace="0"/>
        </w:sectPr>
      </w:pPr>
    </w:p>
    <w:p w14:paraId="21BD5A7F">
      <w:pPr>
        <w:spacing w:line="540" w:lineRule="atLeast"/>
        <w:rPr>
          <w:rFonts w:eastAsia="黑体"/>
          <w:b/>
          <w:bCs/>
          <w:sz w:val="44"/>
          <w:szCs w:val="44"/>
        </w:rPr>
        <w:sectPr>
          <w:headerReference r:id="rId10" w:type="default"/>
          <w:footerReference r:id="rId11" w:type="default"/>
          <w:type w:val="continuous"/>
          <w:pgSz w:w="11906" w:h="16838"/>
          <w:pgMar w:top="1440" w:right="1043" w:bottom="1440" w:left="1797" w:header="851" w:footer="992" w:gutter="0"/>
          <w:pgNumType w:fmt="upperRoman" w:start="1"/>
          <w:cols w:space="720" w:num="1"/>
          <w:docGrid w:type="linesAndChars" w:linePitch="312" w:charSpace="0"/>
        </w:sectPr>
      </w:pPr>
      <w:r>
        <w:rPr>
          <w:rFonts w:eastAsia="黑体"/>
          <w:b/>
          <w:bCs/>
          <w:sz w:val="44"/>
          <w:szCs w:val="44"/>
        </w:rPr>
        <w:br w:type="page"/>
      </w:r>
    </w:p>
    <w:p w14:paraId="78457F98">
      <w:pPr>
        <w:spacing w:line="540" w:lineRule="atLeast"/>
        <w:jc w:val="center"/>
        <w:rPr>
          <w:rFonts w:eastAsia="黑体"/>
          <w:b/>
          <w:sz w:val="44"/>
          <w:szCs w:val="44"/>
        </w:rPr>
      </w:pPr>
      <w:r>
        <w:rPr>
          <w:rFonts w:hint="eastAsia" w:eastAsia="黑体"/>
          <w:b/>
          <w:sz w:val="44"/>
          <w:szCs w:val="44"/>
        </w:rPr>
        <w:t>目</w:t>
      </w:r>
      <w:r>
        <w:rPr>
          <w:rFonts w:eastAsia="黑体"/>
          <w:b/>
          <w:sz w:val="44"/>
          <w:szCs w:val="44"/>
        </w:rPr>
        <w:t xml:space="preserve">    </w:t>
      </w:r>
      <w:r>
        <w:rPr>
          <w:rFonts w:hint="eastAsia" w:eastAsia="黑体"/>
          <w:b/>
          <w:sz w:val="44"/>
          <w:szCs w:val="44"/>
        </w:rPr>
        <w:t>录</w:t>
      </w:r>
    </w:p>
    <w:sdt>
      <w:sdtPr>
        <w:rPr>
          <w:rFonts w:ascii="Times New Roman" w:hAnsi="Times New Roman" w:eastAsia="宋体" w:cs="Times New Roman"/>
          <w:color w:val="auto"/>
          <w:kern w:val="2"/>
          <w:sz w:val="24"/>
          <w:szCs w:val="22"/>
          <w:lang w:val="zh-CN"/>
        </w:rPr>
        <w:id w:val="-1647036176"/>
        <w:docPartObj>
          <w:docPartGallery w:val="Table of Contents"/>
          <w:docPartUnique/>
        </w:docPartObj>
      </w:sdtPr>
      <w:sdtEndPr>
        <w:rPr>
          <w:rFonts w:ascii="Times New Roman" w:hAnsi="Times New Roman" w:eastAsia="宋体" w:cs="Times New Roman"/>
          <w:b/>
          <w:bCs/>
          <w:color w:val="auto"/>
          <w:kern w:val="2"/>
          <w:sz w:val="24"/>
          <w:szCs w:val="22"/>
          <w:lang w:val="zh-CN"/>
        </w:rPr>
      </w:sdtEndPr>
      <w:sdtContent>
        <w:p w14:paraId="74ECA5BA">
          <w:pPr>
            <w:pStyle w:val="81"/>
          </w:pPr>
          <w:r>
            <w:rPr>
              <w:lang w:val="zh-CN"/>
            </w:rPr>
            <w:t>目录</w:t>
          </w:r>
        </w:p>
        <w:p w14:paraId="449B6438">
          <w:pPr>
            <w:pStyle w:val="19"/>
            <w:rPr>
              <w:rFonts w:asciiTheme="minorHAnsi" w:hAnsiTheme="minorHAnsi" w:eastAsiaTheme="minorEastAsia" w:cstheme="minorBidi"/>
              <w:sz w:val="22"/>
              <w14:ligatures w14:val="standardContextual"/>
            </w:rPr>
          </w:pPr>
          <w:r>
            <w:fldChar w:fldCharType="begin"/>
          </w:r>
          <w:r>
            <w:instrText xml:space="preserve"> TOC \o "1-2" \h \z \u </w:instrText>
          </w:r>
          <w:r>
            <w:fldChar w:fldCharType="separate"/>
          </w:r>
          <w:r>
            <w:fldChar w:fldCharType="begin"/>
          </w:r>
          <w:r>
            <w:instrText xml:space="preserve"> HYPERLINK \l "_Toc208913152" </w:instrText>
          </w:r>
          <w:r>
            <w:fldChar w:fldCharType="separate"/>
          </w:r>
          <w:r>
            <w:rPr>
              <w:rStyle w:val="32"/>
              <w:rFonts w:ascii="黑体" w:hAnsi="黑体" w:eastAsia="黑体" w:cs="黑体"/>
            </w:rPr>
            <w:t>引言</w:t>
          </w:r>
          <w:r>
            <w:tab/>
          </w:r>
          <w:r>
            <w:fldChar w:fldCharType="begin"/>
          </w:r>
          <w:r>
            <w:instrText xml:space="preserve"> PAGEREF _Toc208913152 \h </w:instrText>
          </w:r>
          <w:r>
            <w:fldChar w:fldCharType="separate"/>
          </w:r>
          <w:r>
            <w:t>II</w:t>
          </w:r>
          <w:r>
            <w:fldChar w:fldCharType="end"/>
          </w:r>
          <w:r>
            <w:fldChar w:fldCharType="end"/>
          </w:r>
        </w:p>
        <w:p w14:paraId="1860861F">
          <w:pPr>
            <w:pStyle w:val="19"/>
            <w:rPr>
              <w:rFonts w:asciiTheme="minorHAnsi" w:hAnsiTheme="minorHAnsi" w:eastAsiaTheme="minorEastAsia" w:cstheme="minorBidi"/>
              <w:sz w:val="22"/>
              <w14:ligatures w14:val="standardContextual"/>
            </w:rPr>
          </w:pPr>
          <w:r>
            <w:fldChar w:fldCharType="begin"/>
          </w:r>
          <w:r>
            <w:instrText xml:space="preserve"> HYPERLINK \l "_Toc208913153" </w:instrText>
          </w:r>
          <w:r>
            <w:fldChar w:fldCharType="separate"/>
          </w:r>
          <w:r>
            <w:rPr>
              <w:rStyle w:val="32"/>
              <w:rFonts w:ascii="黑体" w:hAnsi="黑体" w:eastAsia="黑体"/>
            </w:rPr>
            <w:t>1 范围</w:t>
          </w:r>
          <w:r>
            <w:tab/>
          </w:r>
          <w:r>
            <w:fldChar w:fldCharType="begin"/>
          </w:r>
          <w:r>
            <w:instrText xml:space="preserve"> PAGEREF _Toc208913153 \h </w:instrText>
          </w:r>
          <w:r>
            <w:fldChar w:fldCharType="separate"/>
          </w:r>
          <w:r>
            <w:t>1</w:t>
          </w:r>
          <w:r>
            <w:fldChar w:fldCharType="end"/>
          </w:r>
          <w:r>
            <w:fldChar w:fldCharType="end"/>
          </w:r>
        </w:p>
        <w:p w14:paraId="4A061B91">
          <w:pPr>
            <w:pStyle w:val="19"/>
            <w:rPr>
              <w:rFonts w:asciiTheme="minorHAnsi" w:hAnsiTheme="minorHAnsi" w:eastAsiaTheme="minorEastAsia" w:cstheme="minorBidi"/>
              <w:sz w:val="22"/>
              <w14:ligatures w14:val="standardContextual"/>
            </w:rPr>
          </w:pPr>
          <w:r>
            <w:fldChar w:fldCharType="begin"/>
          </w:r>
          <w:r>
            <w:instrText xml:space="preserve"> HYPERLINK \l "_Toc208913154" </w:instrText>
          </w:r>
          <w:r>
            <w:fldChar w:fldCharType="separate"/>
          </w:r>
          <w:r>
            <w:rPr>
              <w:rStyle w:val="32"/>
              <w:rFonts w:ascii="黑体" w:hAnsi="黑体" w:eastAsia="黑体"/>
            </w:rPr>
            <w:t>2 引用文件</w:t>
          </w:r>
          <w:r>
            <w:tab/>
          </w:r>
          <w:r>
            <w:fldChar w:fldCharType="begin"/>
          </w:r>
          <w:r>
            <w:instrText xml:space="preserve"> PAGEREF _Toc208913154 \h </w:instrText>
          </w:r>
          <w:r>
            <w:fldChar w:fldCharType="separate"/>
          </w:r>
          <w:r>
            <w:t>1</w:t>
          </w:r>
          <w:r>
            <w:fldChar w:fldCharType="end"/>
          </w:r>
          <w:r>
            <w:fldChar w:fldCharType="end"/>
          </w:r>
        </w:p>
        <w:p w14:paraId="675C6E61">
          <w:pPr>
            <w:pStyle w:val="19"/>
            <w:rPr>
              <w:rFonts w:asciiTheme="minorHAnsi" w:hAnsiTheme="minorHAnsi" w:eastAsiaTheme="minorEastAsia" w:cstheme="minorBidi"/>
              <w:sz w:val="22"/>
              <w14:ligatures w14:val="standardContextual"/>
            </w:rPr>
          </w:pPr>
          <w:r>
            <w:fldChar w:fldCharType="begin"/>
          </w:r>
          <w:r>
            <w:instrText xml:space="preserve"> HYPERLINK \l "_Toc208913155" </w:instrText>
          </w:r>
          <w:r>
            <w:fldChar w:fldCharType="separate"/>
          </w:r>
          <w:r>
            <w:rPr>
              <w:rStyle w:val="32"/>
              <w:rFonts w:ascii="黑体" w:hAnsi="黑体" w:eastAsia="黑体"/>
            </w:rPr>
            <w:t xml:space="preserve">3 </w:t>
          </w:r>
          <w:r>
            <w:rPr>
              <w:rStyle w:val="32"/>
              <w:rFonts w:ascii="黑体" w:hAnsi="黑体" w:eastAsia="黑体" w:cs="黑体"/>
            </w:rPr>
            <w:t>概述</w:t>
          </w:r>
          <w:r>
            <w:tab/>
          </w:r>
          <w:r>
            <w:fldChar w:fldCharType="begin"/>
          </w:r>
          <w:r>
            <w:instrText xml:space="preserve"> PAGEREF _Toc208913155 \h </w:instrText>
          </w:r>
          <w:r>
            <w:fldChar w:fldCharType="separate"/>
          </w:r>
          <w:r>
            <w:t>1</w:t>
          </w:r>
          <w:r>
            <w:fldChar w:fldCharType="end"/>
          </w:r>
          <w:r>
            <w:fldChar w:fldCharType="end"/>
          </w:r>
        </w:p>
        <w:p w14:paraId="60035DDF">
          <w:pPr>
            <w:pStyle w:val="19"/>
            <w:rPr>
              <w:rFonts w:asciiTheme="minorHAnsi" w:hAnsiTheme="minorHAnsi" w:eastAsiaTheme="minorEastAsia" w:cstheme="minorBidi"/>
              <w:sz w:val="22"/>
              <w14:ligatures w14:val="standardContextual"/>
            </w:rPr>
          </w:pPr>
          <w:r>
            <w:fldChar w:fldCharType="begin"/>
          </w:r>
          <w:r>
            <w:instrText xml:space="preserve"> HYPERLINK \l "_Toc208913156" </w:instrText>
          </w:r>
          <w:r>
            <w:fldChar w:fldCharType="separate"/>
          </w:r>
          <w:r>
            <w:rPr>
              <w:rStyle w:val="32"/>
              <w:rFonts w:ascii="黑体" w:hAnsi="黑体" w:eastAsia="黑体"/>
            </w:rPr>
            <w:t xml:space="preserve">4 </w:t>
          </w:r>
          <w:r>
            <w:rPr>
              <w:rStyle w:val="32"/>
              <w:rFonts w:ascii="黑体" w:hAnsi="黑体" w:eastAsia="黑体" w:cs="黑体"/>
            </w:rPr>
            <w:t>计量特性</w:t>
          </w:r>
          <w:r>
            <w:tab/>
          </w:r>
          <w:r>
            <w:fldChar w:fldCharType="begin"/>
          </w:r>
          <w:r>
            <w:instrText xml:space="preserve"> PAGEREF _Toc208913156 \h </w:instrText>
          </w:r>
          <w:r>
            <w:fldChar w:fldCharType="separate"/>
          </w:r>
          <w:r>
            <w:t>2</w:t>
          </w:r>
          <w:r>
            <w:fldChar w:fldCharType="end"/>
          </w:r>
          <w:r>
            <w:fldChar w:fldCharType="end"/>
          </w:r>
        </w:p>
        <w:p w14:paraId="7C351DA8">
          <w:pPr>
            <w:pStyle w:val="19"/>
            <w:rPr>
              <w:rFonts w:asciiTheme="minorHAnsi" w:hAnsiTheme="minorHAnsi" w:eastAsiaTheme="minorEastAsia" w:cstheme="minorBidi"/>
              <w:sz w:val="22"/>
              <w14:ligatures w14:val="standardContextual"/>
            </w:rPr>
          </w:pPr>
          <w:r>
            <w:fldChar w:fldCharType="begin"/>
          </w:r>
          <w:r>
            <w:instrText xml:space="preserve"> HYPERLINK \l "_Toc208913157" </w:instrText>
          </w:r>
          <w:r>
            <w:fldChar w:fldCharType="separate"/>
          </w:r>
          <w:r>
            <w:rPr>
              <w:rStyle w:val="32"/>
              <w:rFonts w:ascii="黑体" w:hAnsi="黑体" w:eastAsia="黑体"/>
              <w:kern w:val="0"/>
            </w:rPr>
            <w:t xml:space="preserve">5  </w:t>
          </w:r>
          <w:r>
            <w:rPr>
              <w:rStyle w:val="32"/>
              <w:rFonts w:ascii="黑体" w:hAnsi="黑体" w:eastAsia="黑体" w:cs="黑体"/>
            </w:rPr>
            <w:t>校准条件</w:t>
          </w:r>
          <w:r>
            <w:tab/>
          </w:r>
          <w:r>
            <w:fldChar w:fldCharType="begin"/>
          </w:r>
          <w:r>
            <w:instrText xml:space="preserve"> PAGEREF _Toc208913157 \h </w:instrText>
          </w:r>
          <w:r>
            <w:fldChar w:fldCharType="separate"/>
          </w:r>
          <w:r>
            <w:t>2</w:t>
          </w:r>
          <w:r>
            <w:fldChar w:fldCharType="end"/>
          </w:r>
          <w:r>
            <w:fldChar w:fldCharType="end"/>
          </w:r>
        </w:p>
        <w:p w14:paraId="1CBFBA95">
          <w:pPr>
            <w:pStyle w:val="19"/>
            <w:rPr>
              <w:rFonts w:asciiTheme="minorHAnsi" w:hAnsiTheme="minorHAnsi" w:eastAsiaTheme="minorEastAsia" w:cstheme="minorBidi"/>
              <w:sz w:val="22"/>
              <w14:ligatures w14:val="standardContextual"/>
            </w:rPr>
          </w:pPr>
          <w:r>
            <w:fldChar w:fldCharType="begin"/>
          </w:r>
          <w:r>
            <w:instrText xml:space="preserve"> HYPERLINK \l "_Toc208913158" </w:instrText>
          </w:r>
          <w:r>
            <w:fldChar w:fldCharType="separate"/>
          </w:r>
          <w:r>
            <w:rPr>
              <w:rStyle w:val="32"/>
              <w:rFonts w:ascii="黑体" w:hAnsi="黑体" w:eastAsia="黑体"/>
            </w:rPr>
            <w:t>5.1 环境条件</w:t>
          </w:r>
          <w:r>
            <w:tab/>
          </w:r>
          <w:r>
            <w:fldChar w:fldCharType="begin"/>
          </w:r>
          <w:r>
            <w:instrText xml:space="preserve"> PAGEREF _Toc208913158 \h </w:instrText>
          </w:r>
          <w:r>
            <w:fldChar w:fldCharType="separate"/>
          </w:r>
          <w:r>
            <w:t>2</w:t>
          </w:r>
          <w:r>
            <w:fldChar w:fldCharType="end"/>
          </w:r>
          <w:r>
            <w:fldChar w:fldCharType="end"/>
          </w:r>
        </w:p>
        <w:p w14:paraId="0265A60C">
          <w:pPr>
            <w:pStyle w:val="19"/>
            <w:rPr>
              <w:rFonts w:asciiTheme="minorHAnsi" w:hAnsiTheme="minorHAnsi" w:eastAsiaTheme="minorEastAsia" w:cstheme="minorBidi"/>
              <w:sz w:val="22"/>
              <w14:ligatures w14:val="standardContextual"/>
            </w:rPr>
          </w:pPr>
          <w:r>
            <w:fldChar w:fldCharType="begin"/>
          </w:r>
          <w:r>
            <w:instrText xml:space="preserve"> HYPERLINK \l "_Toc208913159" </w:instrText>
          </w:r>
          <w:r>
            <w:fldChar w:fldCharType="separate"/>
          </w:r>
          <w:r>
            <w:rPr>
              <w:rStyle w:val="32"/>
              <w:rFonts w:ascii="黑体" w:hAnsi="黑体" w:eastAsia="黑体"/>
            </w:rPr>
            <w:t>5.2 测量标准及其他设备</w:t>
          </w:r>
          <w:r>
            <w:tab/>
          </w:r>
          <w:r>
            <w:fldChar w:fldCharType="begin"/>
          </w:r>
          <w:r>
            <w:instrText xml:space="preserve"> PAGEREF _Toc208913159 \h </w:instrText>
          </w:r>
          <w:r>
            <w:fldChar w:fldCharType="separate"/>
          </w:r>
          <w:r>
            <w:t>2</w:t>
          </w:r>
          <w:r>
            <w:fldChar w:fldCharType="end"/>
          </w:r>
          <w:r>
            <w:fldChar w:fldCharType="end"/>
          </w:r>
        </w:p>
        <w:p w14:paraId="109FCB84">
          <w:pPr>
            <w:pStyle w:val="19"/>
            <w:rPr>
              <w:rFonts w:asciiTheme="minorHAnsi" w:hAnsiTheme="minorHAnsi" w:eastAsiaTheme="minorEastAsia" w:cstheme="minorBidi"/>
              <w:sz w:val="22"/>
              <w14:ligatures w14:val="standardContextual"/>
            </w:rPr>
          </w:pPr>
          <w:r>
            <w:fldChar w:fldCharType="begin"/>
          </w:r>
          <w:r>
            <w:instrText xml:space="preserve"> HYPERLINK \l "_Toc208913160" </w:instrText>
          </w:r>
          <w:r>
            <w:fldChar w:fldCharType="separate"/>
          </w:r>
          <w:r>
            <w:rPr>
              <w:rStyle w:val="32"/>
              <w:rFonts w:ascii="黑体" w:hAnsi="黑体" w:eastAsia="黑体"/>
            </w:rPr>
            <w:t>6 校准项目和校准方法</w:t>
          </w:r>
          <w:r>
            <w:tab/>
          </w:r>
          <w:r>
            <w:fldChar w:fldCharType="begin"/>
          </w:r>
          <w:r>
            <w:instrText xml:space="preserve"> PAGEREF _Toc208913160 \h </w:instrText>
          </w:r>
          <w:r>
            <w:fldChar w:fldCharType="separate"/>
          </w:r>
          <w:r>
            <w:t>2</w:t>
          </w:r>
          <w:r>
            <w:fldChar w:fldCharType="end"/>
          </w:r>
          <w:r>
            <w:fldChar w:fldCharType="end"/>
          </w:r>
        </w:p>
        <w:p w14:paraId="5D4F406D">
          <w:pPr>
            <w:pStyle w:val="19"/>
            <w:rPr>
              <w:rFonts w:asciiTheme="minorHAnsi" w:hAnsiTheme="minorHAnsi" w:eastAsiaTheme="minorEastAsia" w:cstheme="minorBidi"/>
              <w:sz w:val="22"/>
              <w14:ligatures w14:val="standardContextual"/>
            </w:rPr>
          </w:pPr>
          <w:r>
            <w:fldChar w:fldCharType="begin"/>
          </w:r>
          <w:r>
            <w:instrText xml:space="preserve"> HYPERLINK \l "_Toc208913161" </w:instrText>
          </w:r>
          <w:r>
            <w:fldChar w:fldCharType="separate"/>
          </w:r>
          <w:r>
            <w:rPr>
              <w:rStyle w:val="32"/>
              <w:rFonts w:ascii="黑体" w:hAnsi="黑体" w:eastAsia="黑体"/>
            </w:rPr>
            <w:t>6.1 泵流量稳定性</w:t>
          </w:r>
          <w:r>
            <w:tab/>
          </w:r>
          <w:r>
            <w:fldChar w:fldCharType="begin"/>
          </w:r>
          <w:r>
            <w:instrText xml:space="preserve"> PAGEREF _Toc208913161 \h </w:instrText>
          </w:r>
          <w:r>
            <w:fldChar w:fldCharType="separate"/>
          </w:r>
          <w:r>
            <w:t>3</w:t>
          </w:r>
          <w:r>
            <w:fldChar w:fldCharType="end"/>
          </w:r>
          <w:r>
            <w:fldChar w:fldCharType="end"/>
          </w:r>
        </w:p>
        <w:p w14:paraId="44676C4A">
          <w:pPr>
            <w:pStyle w:val="19"/>
            <w:rPr>
              <w:rFonts w:asciiTheme="minorHAnsi" w:hAnsiTheme="minorHAnsi" w:eastAsiaTheme="minorEastAsia" w:cstheme="minorBidi"/>
              <w:sz w:val="22"/>
              <w14:ligatures w14:val="standardContextual"/>
            </w:rPr>
          </w:pPr>
          <w:r>
            <w:fldChar w:fldCharType="begin"/>
          </w:r>
          <w:r>
            <w:instrText xml:space="preserve"> HYPERLINK \l "_Toc208913162" </w:instrText>
          </w:r>
          <w:r>
            <w:fldChar w:fldCharType="separate"/>
          </w:r>
          <w:r>
            <w:rPr>
              <w:rStyle w:val="32"/>
              <w:rFonts w:ascii="黑体" w:hAnsi="黑体" w:eastAsia="黑体"/>
            </w:rPr>
            <w:t>6.2 检测器的基线噪声和基线漂移</w:t>
          </w:r>
          <w:r>
            <w:tab/>
          </w:r>
          <w:r>
            <w:fldChar w:fldCharType="begin"/>
          </w:r>
          <w:r>
            <w:instrText xml:space="preserve"> PAGEREF _Toc208913162 \h </w:instrText>
          </w:r>
          <w:r>
            <w:fldChar w:fldCharType="separate"/>
          </w:r>
          <w:r>
            <w:t>3</w:t>
          </w:r>
          <w:r>
            <w:fldChar w:fldCharType="end"/>
          </w:r>
          <w:r>
            <w:fldChar w:fldCharType="end"/>
          </w:r>
        </w:p>
        <w:p w14:paraId="4EB232CA">
          <w:pPr>
            <w:pStyle w:val="19"/>
            <w:rPr>
              <w:rFonts w:asciiTheme="minorHAnsi" w:hAnsiTheme="minorHAnsi" w:eastAsiaTheme="minorEastAsia" w:cstheme="minorBidi"/>
              <w:sz w:val="22"/>
              <w14:ligatures w14:val="standardContextual"/>
            </w:rPr>
          </w:pPr>
          <w:r>
            <w:fldChar w:fldCharType="begin"/>
          </w:r>
          <w:r>
            <w:instrText xml:space="preserve"> HYPERLINK \l "_Toc208913163" </w:instrText>
          </w:r>
          <w:r>
            <w:fldChar w:fldCharType="separate"/>
          </w:r>
          <w:r>
            <w:rPr>
              <w:rStyle w:val="32"/>
              <w:rFonts w:ascii="黑体" w:hAnsi="黑体" w:eastAsia="黑体"/>
            </w:rPr>
            <w:t>6.3 仪器测量示值误差</w:t>
          </w:r>
          <w:r>
            <w:tab/>
          </w:r>
          <w:r>
            <w:fldChar w:fldCharType="begin"/>
          </w:r>
          <w:r>
            <w:instrText xml:space="preserve"> PAGEREF _Toc208913163 \h </w:instrText>
          </w:r>
          <w:r>
            <w:fldChar w:fldCharType="separate"/>
          </w:r>
          <w:r>
            <w:t>4</w:t>
          </w:r>
          <w:r>
            <w:fldChar w:fldCharType="end"/>
          </w:r>
          <w:r>
            <w:fldChar w:fldCharType="end"/>
          </w:r>
        </w:p>
        <w:p w14:paraId="25535C68">
          <w:pPr>
            <w:pStyle w:val="19"/>
            <w:rPr>
              <w:rFonts w:asciiTheme="minorHAnsi" w:hAnsiTheme="minorHAnsi" w:eastAsiaTheme="minorEastAsia" w:cstheme="minorBidi"/>
              <w:sz w:val="22"/>
              <w14:ligatures w14:val="standardContextual"/>
            </w:rPr>
          </w:pPr>
          <w:r>
            <w:fldChar w:fldCharType="begin"/>
          </w:r>
          <w:r>
            <w:instrText xml:space="preserve"> HYPERLINK \l "_Toc208913164" </w:instrText>
          </w:r>
          <w:r>
            <w:fldChar w:fldCharType="separate"/>
          </w:r>
          <w:r>
            <w:rPr>
              <w:rStyle w:val="32"/>
              <w:rFonts w:ascii="黑体" w:hAnsi="黑体" w:eastAsia="黑体"/>
            </w:rPr>
            <w:t>6.4 仪器测量重复性</w:t>
          </w:r>
          <w:r>
            <w:tab/>
          </w:r>
          <w:r>
            <w:fldChar w:fldCharType="begin"/>
          </w:r>
          <w:r>
            <w:instrText xml:space="preserve"> PAGEREF _Toc208913164 \h </w:instrText>
          </w:r>
          <w:r>
            <w:fldChar w:fldCharType="separate"/>
          </w:r>
          <w:r>
            <w:t>4</w:t>
          </w:r>
          <w:r>
            <w:fldChar w:fldCharType="end"/>
          </w:r>
          <w:r>
            <w:fldChar w:fldCharType="end"/>
          </w:r>
        </w:p>
        <w:p w14:paraId="0A0CC046">
          <w:pPr>
            <w:pStyle w:val="19"/>
            <w:rPr>
              <w:rFonts w:asciiTheme="minorHAnsi" w:hAnsiTheme="minorHAnsi" w:eastAsiaTheme="minorEastAsia" w:cstheme="minorBidi"/>
              <w:sz w:val="22"/>
              <w14:ligatures w14:val="standardContextual"/>
            </w:rPr>
          </w:pPr>
          <w:r>
            <w:fldChar w:fldCharType="begin"/>
          </w:r>
          <w:r>
            <w:instrText xml:space="preserve"> HYPERLINK \l "_Toc208913165" </w:instrText>
          </w:r>
          <w:r>
            <w:fldChar w:fldCharType="separate"/>
          </w:r>
          <w:r>
            <w:rPr>
              <w:rStyle w:val="32"/>
              <w:rFonts w:ascii="黑体" w:hAnsi="黑体" w:eastAsia="黑体"/>
            </w:rPr>
            <w:t>7 校准结果表达</w:t>
          </w:r>
          <w:r>
            <w:tab/>
          </w:r>
          <w:r>
            <w:fldChar w:fldCharType="begin"/>
          </w:r>
          <w:r>
            <w:instrText xml:space="preserve"> PAGEREF _Toc208913165 \h </w:instrText>
          </w:r>
          <w:r>
            <w:fldChar w:fldCharType="separate"/>
          </w:r>
          <w:r>
            <w:t>5</w:t>
          </w:r>
          <w:r>
            <w:fldChar w:fldCharType="end"/>
          </w:r>
          <w:r>
            <w:fldChar w:fldCharType="end"/>
          </w:r>
        </w:p>
        <w:p w14:paraId="263903A4">
          <w:pPr>
            <w:pStyle w:val="19"/>
            <w:rPr>
              <w:rFonts w:asciiTheme="minorHAnsi" w:hAnsiTheme="minorHAnsi" w:eastAsiaTheme="minorEastAsia" w:cstheme="minorBidi"/>
              <w:sz w:val="22"/>
              <w14:ligatures w14:val="standardContextual"/>
            </w:rPr>
          </w:pPr>
          <w:r>
            <w:fldChar w:fldCharType="begin"/>
          </w:r>
          <w:r>
            <w:instrText xml:space="preserve"> HYPERLINK \l "_Toc208913166" </w:instrText>
          </w:r>
          <w:r>
            <w:fldChar w:fldCharType="separate"/>
          </w:r>
          <w:r>
            <w:rPr>
              <w:rStyle w:val="32"/>
              <w:rFonts w:ascii="黑体" w:hAnsi="黑体" w:eastAsia="黑体"/>
            </w:rPr>
            <w:t>8 复校时间间隔</w:t>
          </w:r>
          <w:r>
            <w:tab/>
          </w:r>
          <w:r>
            <w:fldChar w:fldCharType="begin"/>
          </w:r>
          <w:r>
            <w:instrText xml:space="preserve"> PAGEREF _Toc208913166 \h </w:instrText>
          </w:r>
          <w:r>
            <w:fldChar w:fldCharType="separate"/>
          </w:r>
          <w:r>
            <w:t>5</w:t>
          </w:r>
          <w:r>
            <w:fldChar w:fldCharType="end"/>
          </w:r>
          <w:r>
            <w:fldChar w:fldCharType="end"/>
          </w:r>
        </w:p>
        <w:p w14:paraId="744D659E">
          <w:pPr>
            <w:pStyle w:val="19"/>
            <w:rPr>
              <w:rFonts w:asciiTheme="minorHAnsi" w:hAnsiTheme="minorHAnsi" w:eastAsiaTheme="minorEastAsia" w:cstheme="minorBidi"/>
              <w:sz w:val="22"/>
              <w14:ligatures w14:val="standardContextual"/>
            </w:rPr>
          </w:pPr>
          <w:r>
            <w:fldChar w:fldCharType="begin"/>
          </w:r>
          <w:r>
            <w:instrText xml:space="preserve"> HYPERLINK \l "_Toc208913167" </w:instrText>
          </w:r>
          <w:r>
            <w:fldChar w:fldCharType="separate"/>
          </w:r>
          <w:r>
            <w:rPr>
              <w:rStyle w:val="32"/>
              <w:rFonts w:ascii="黑体" w:hAnsi="黑体" w:eastAsia="黑体"/>
            </w:rPr>
            <w:t>附录A</w:t>
          </w:r>
          <w:r>
            <w:tab/>
          </w:r>
          <w:r>
            <w:fldChar w:fldCharType="begin"/>
          </w:r>
          <w:r>
            <w:instrText xml:space="preserve"> PAGEREF _Toc208913167 \h </w:instrText>
          </w:r>
          <w:r>
            <w:fldChar w:fldCharType="separate"/>
          </w:r>
          <w:r>
            <w:t>6</w:t>
          </w:r>
          <w:r>
            <w:fldChar w:fldCharType="end"/>
          </w:r>
          <w:r>
            <w:fldChar w:fldCharType="end"/>
          </w:r>
        </w:p>
        <w:p w14:paraId="584063B2">
          <w:pPr>
            <w:pStyle w:val="19"/>
            <w:rPr>
              <w:rFonts w:asciiTheme="minorHAnsi" w:hAnsiTheme="minorHAnsi" w:eastAsiaTheme="minorEastAsia" w:cstheme="minorBidi"/>
              <w:sz w:val="22"/>
              <w14:ligatures w14:val="standardContextual"/>
            </w:rPr>
          </w:pPr>
          <w:r>
            <w:fldChar w:fldCharType="begin"/>
          </w:r>
          <w:r>
            <w:instrText xml:space="preserve"> HYPERLINK \l "_Toc208913168" </w:instrText>
          </w:r>
          <w:r>
            <w:fldChar w:fldCharType="separate"/>
          </w:r>
          <w:r>
            <w:rPr>
              <w:rStyle w:val="32"/>
              <w:rFonts w:ascii="黑体" w:hAnsi="黑体" w:eastAsia="黑体"/>
            </w:rPr>
            <w:t>附录B</w:t>
          </w:r>
          <w:r>
            <w:tab/>
          </w:r>
          <w:r>
            <w:fldChar w:fldCharType="begin"/>
          </w:r>
          <w:r>
            <w:instrText xml:space="preserve"> PAGEREF _Toc208913168 \h </w:instrText>
          </w:r>
          <w:r>
            <w:fldChar w:fldCharType="separate"/>
          </w:r>
          <w:r>
            <w:t>7</w:t>
          </w:r>
          <w:r>
            <w:fldChar w:fldCharType="end"/>
          </w:r>
          <w:r>
            <w:fldChar w:fldCharType="end"/>
          </w:r>
        </w:p>
        <w:p w14:paraId="393D82E6">
          <w:pPr>
            <w:pStyle w:val="19"/>
            <w:rPr>
              <w:rFonts w:asciiTheme="minorHAnsi" w:hAnsiTheme="minorHAnsi" w:eastAsiaTheme="minorEastAsia" w:cstheme="minorBidi"/>
              <w:sz w:val="22"/>
              <w14:ligatures w14:val="standardContextual"/>
            </w:rPr>
          </w:pPr>
          <w:r>
            <w:fldChar w:fldCharType="begin"/>
          </w:r>
          <w:r>
            <w:instrText xml:space="preserve"> HYPERLINK \l "_Toc208913169" </w:instrText>
          </w:r>
          <w:r>
            <w:fldChar w:fldCharType="separate"/>
          </w:r>
          <w:r>
            <w:rPr>
              <w:rStyle w:val="32"/>
              <w:rFonts w:ascii="黑体" w:hAnsi="黑体" w:eastAsia="黑体"/>
            </w:rPr>
            <w:t>附录C</w:t>
          </w:r>
          <w:r>
            <w:tab/>
          </w:r>
          <w:r>
            <w:fldChar w:fldCharType="begin"/>
          </w:r>
          <w:r>
            <w:instrText xml:space="preserve"> PAGEREF _Toc208913169 \h </w:instrText>
          </w:r>
          <w:r>
            <w:fldChar w:fldCharType="separate"/>
          </w:r>
          <w:r>
            <w:t>8</w:t>
          </w:r>
          <w:r>
            <w:fldChar w:fldCharType="end"/>
          </w:r>
          <w:r>
            <w:fldChar w:fldCharType="end"/>
          </w:r>
        </w:p>
        <w:p w14:paraId="07D3863A">
          <w:pPr>
            <w:pStyle w:val="19"/>
            <w:rPr>
              <w:rFonts w:asciiTheme="minorHAnsi" w:hAnsiTheme="minorHAnsi" w:eastAsiaTheme="minorEastAsia" w:cstheme="minorBidi"/>
              <w:sz w:val="22"/>
              <w14:ligatures w14:val="standardContextual"/>
            </w:rPr>
          </w:pPr>
          <w:r>
            <w:fldChar w:fldCharType="begin"/>
          </w:r>
          <w:r>
            <w:instrText xml:space="preserve"> HYPERLINK \l "_Toc208913170" </w:instrText>
          </w:r>
          <w:r>
            <w:fldChar w:fldCharType="separate"/>
          </w:r>
          <w:r>
            <w:rPr>
              <w:rStyle w:val="32"/>
              <w:rFonts w:ascii="黑体" w:hAnsi="黑体" w:eastAsia="黑体"/>
            </w:rPr>
            <w:t>附录D</w:t>
          </w:r>
          <w:r>
            <w:tab/>
          </w:r>
          <w:r>
            <w:fldChar w:fldCharType="begin"/>
          </w:r>
          <w:r>
            <w:instrText xml:space="preserve"> PAGEREF _Toc208913170 \h </w:instrText>
          </w:r>
          <w:r>
            <w:fldChar w:fldCharType="separate"/>
          </w:r>
          <w:r>
            <w:t>9</w:t>
          </w:r>
          <w:r>
            <w:fldChar w:fldCharType="end"/>
          </w:r>
          <w:r>
            <w:fldChar w:fldCharType="end"/>
          </w:r>
        </w:p>
        <w:p w14:paraId="58D11C49">
          <w:pPr>
            <w:pStyle w:val="19"/>
            <w:rPr>
              <w:rFonts w:asciiTheme="minorHAnsi" w:hAnsiTheme="minorHAnsi" w:eastAsiaTheme="minorEastAsia" w:cstheme="minorBidi"/>
              <w:sz w:val="22"/>
              <w14:ligatures w14:val="standardContextual"/>
            </w:rPr>
          </w:pPr>
          <w:r>
            <w:fldChar w:fldCharType="begin"/>
          </w:r>
          <w:r>
            <w:instrText xml:space="preserve"> HYPERLINK \l "_Toc208913171" </w:instrText>
          </w:r>
          <w:r>
            <w:fldChar w:fldCharType="separate"/>
          </w:r>
          <w:r>
            <w:rPr>
              <w:rStyle w:val="32"/>
              <w:rFonts w:ascii="黑体" w:hAnsi="黑体" w:eastAsia="黑体"/>
            </w:rPr>
            <w:t>附录E</w:t>
          </w:r>
          <w:r>
            <w:tab/>
          </w:r>
          <w:r>
            <w:fldChar w:fldCharType="begin"/>
          </w:r>
          <w:r>
            <w:instrText xml:space="preserve"> PAGEREF _Toc208913171 \h </w:instrText>
          </w:r>
          <w:r>
            <w:fldChar w:fldCharType="separate"/>
          </w:r>
          <w:r>
            <w:t>10</w:t>
          </w:r>
          <w:r>
            <w:fldChar w:fldCharType="end"/>
          </w:r>
          <w:r>
            <w:fldChar w:fldCharType="end"/>
          </w:r>
        </w:p>
        <w:p w14:paraId="693705B7">
          <w:pPr>
            <w:pStyle w:val="19"/>
            <w:rPr>
              <w:rFonts w:asciiTheme="minorHAnsi" w:hAnsiTheme="minorHAnsi" w:eastAsiaTheme="minorEastAsia" w:cstheme="minorBidi"/>
              <w:sz w:val="22"/>
              <w14:ligatures w14:val="standardContextual"/>
            </w:rPr>
          </w:pPr>
          <w:r>
            <w:fldChar w:fldCharType="begin"/>
          </w:r>
          <w:r>
            <w:instrText xml:space="preserve"> HYPERLINK \l "_Toc208913172" </w:instrText>
          </w:r>
          <w:r>
            <w:fldChar w:fldCharType="separate"/>
          </w:r>
          <w:r>
            <w:rPr>
              <w:rStyle w:val="32"/>
              <w:rFonts w:ascii="黑体" w:hAnsi="黑体" w:eastAsia="黑体"/>
            </w:rPr>
            <w:t>附录F</w:t>
          </w:r>
          <w:r>
            <w:tab/>
          </w:r>
          <w:r>
            <w:fldChar w:fldCharType="begin"/>
          </w:r>
          <w:r>
            <w:instrText xml:space="preserve"> PAGEREF _Toc208913172 \h </w:instrText>
          </w:r>
          <w:r>
            <w:fldChar w:fldCharType="separate"/>
          </w:r>
          <w:r>
            <w:t>12</w:t>
          </w:r>
          <w:r>
            <w:fldChar w:fldCharType="end"/>
          </w:r>
          <w:r>
            <w:fldChar w:fldCharType="end"/>
          </w:r>
        </w:p>
        <w:p w14:paraId="7EE33E94">
          <w:pPr>
            <w:pStyle w:val="19"/>
            <w:rPr>
              <w:rFonts w:asciiTheme="minorHAnsi" w:hAnsiTheme="minorHAnsi" w:eastAsiaTheme="minorEastAsia" w:cstheme="minorBidi"/>
              <w:sz w:val="22"/>
              <w14:ligatures w14:val="standardContextual"/>
            </w:rPr>
          </w:pPr>
          <w:r>
            <w:fldChar w:fldCharType="begin"/>
          </w:r>
          <w:r>
            <w:instrText xml:space="preserve"> HYPERLINK \l "_Toc208913173" </w:instrText>
          </w:r>
          <w:r>
            <w:fldChar w:fldCharType="separate"/>
          </w:r>
          <w:r>
            <w:rPr>
              <w:rStyle w:val="32"/>
              <w:rFonts w:ascii="黑体" w:hAnsi="黑体" w:eastAsia="黑体"/>
            </w:rPr>
            <w:t>附录G</w:t>
          </w:r>
          <w:r>
            <w:tab/>
          </w:r>
          <w:r>
            <w:fldChar w:fldCharType="begin"/>
          </w:r>
          <w:r>
            <w:instrText xml:space="preserve"> PAGEREF _Toc208913173 \h </w:instrText>
          </w:r>
          <w:r>
            <w:fldChar w:fldCharType="separate"/>
          </w:r>
          <w:r>
            <w:t>14</w:t>
          </w:r>
          <w:r>
            <w:fldChar w:fldCharType="end"/>
          </w:r>
          <w:r>
            <w:fldChar w:fldCharType="end"/>
          </w:r>
        </w:p>
        <w:p w14:paraId="359ECD8D">
          <w:r>
            <w:rPr>
              <w:szCs w:val="24"/>
            </w:rPr>
            <w:fldChar w:fldCharType="end"/>
          </w:r>
        </w:p>
      </w:sdtContent>
    </w:sdt>
    <w:p w14:paraId="72118A13">
      <w:pPr>
        <w:widowControl/>
        <w:spacing w:line="240" w:lineRule="auto"/>
        <w:jc w:val="left"/>
        <w:rPr>
          <w:rFonts w:eastAsia="黑体"/>
          <w:b/>
          <w:sz w:val="44"/>
          <w:szCs w:val="44"/>
        </w:rPr>
      </w:pPr>
      <w:r>
        <w:rPr>
          <w:rFonts w:eastAsia="黑体"/>
          <w:b/>
          <w:sz w:val="44"/>
          <w:szCs w:val="44"/>
        </w:rPr>
        <w:br w:type="page"/>
      </w:r>
    </w:p>
    <w:p w14:paraId="271AC4E1">
      <w:pPr>
        <w:pStyle w:val="2"/>
        <w:jc w:val="center"/>
        <w:rPr>
          <w:rFonts w:ascii="黑体" w:hAnsi="黑体" w:eastAsia="黑体"/>
          <w:sz w:val="44"/>
          <w:szCs w:val="44"/>
        </w:rPr>
      </w:pPr>
      <w:bookmarkStart w:id="3" w:name="_Toc208913152"/>
      <w:r>
        <w:rPr>
          <w:rFonts w:hint="eastAsia" w:ascii="黑体" w:hAnsi="黑体" w:eastAsia="黑体" w:cs="黑体"/>
          <w:sz w:val="44"/>
          <w:szCs w:val="44"/>
        </w:rPr>
        <w:t>引言</w:t>
      </w:r>
      <w:bookmarkEnd w:id="3"/>
    </w:p>
    <w:p w14:paraId="48FFBD8F">
      <w:pPr>
        <w:spacing w:line="400" w:lineRule="atLeast"/>
        <w:ind w:firstLine="480" w:firstLineChars="200"/>
        <w:rPr>
          <w:szCs w:val="24"/>
        </w:rPr>
      </w:pPr>
    </w:p>
    <w:p w14:paraId="1617FE47">
      <w:pPr>
        <w:ind w:firstLine="480" w:firstLineChars="200"/>
        <w:rPr>
          <w:szCs w:val="24"/>
        </w:rPr>
      </w:pPr>
      <w:r>
        <w:rPr>
          <w:szCs w:val="24"/>
        </w:rPr>
        <w:t>JJF 1071</w:t>
      </w:r>
      <w:r>
        <w:rPr>
          <w:rFonts w:hint="eastAsia"/>
          <w:szCs w:val="24"/>
        </w:rPr>
        <w:t>《国家计量校准规范编写规则》、</w:t>
      </w:r>
      <w:r>
        <w:rPr>
          <w:szCs w:val="24"/>
        </w:rPr>
        <w:t xml:space="preserve">JJF 1001 </w:t>
      </w:r>
      <w:r>
        <w:rPr>
          <w:rFonts w:hint="eastAsia"/>
          <w:szCs w:val="24"/>
        </w:rPr>
        <w:t>《通用计量术语及定义》、</w:t>
      </w:r>
      <w:r>
        <w:rPr>
          <w:szCs w:val="24"/>
        </w:rPr>
        <w:t>JJF 1059.1</w:t>
      </w:r>
      <w:r>
        <w:rPr>
          <w:rFonts w:hint="eastAsia"/>
          <w:szCs w:val="24"/>
        </w:rPr>
        <w:t>《测量不确定度评定与表示》和</w:t>
      </w:r>
      <w:r>
        <w:rPr>
          <w:szCs w:val="24"/>
        </w:rPr>
        <w:t>JJF 1094</w:t>
      </w:r>
      <w:r>
        <w:rPr>
          <w:rFonts w:hint="eastAsia"/>
          <w:szCs w:val="24"/>
        </w:rPr>
        <w:t>《测量仪器特性评定》共同构成支撑本校准规范制定工作的基础性系列规范。</w:t>
      </w:r>
    </w:p>
    <w:p w14:paraId="7D9E31CB">
      <w:pPr>
        <w:ind w:firstLine="480" w:firstLineChars="200"/>
        <w:rPr>
          <w:szCs w:val="24"/>
        </w:rPr>
      </w:pPr>
      <w:r>
        <w:rPr>
          <w:rFonts w:hint="eastAsia"/>
          <w:szCs w:val="24"/>
        </w:rPr>
        <w:t>本规范为首次发布。</w:t>
      </w:r>
    </w:p>
    <w:p w14:paraId="38E9240B">
      <w:pPr>
        <w:spacing w:line="400" w:lineRule="atLeast"/>
        <w:ind w:firstLine="480" w:firstLineChars="200"/>
        <w:rPr>
          <w:szCs w:val="24"/>
        </w:rPr>
      </w:pPr>
    </w:p>
    <w:p w14:paraId="63189807">
      <w:pPr>
        <w:rPr>
          <w:szCs w:val="24"/>
        </w:rPr>
      </w:pPr>
    </w:p>
    <w:p w14:paraId="418D432C">
      <w:pPr>
        <w:rPr>
          <w:szCs w:val="24"/>
        </w:rPr>
      </w:pPr>
    </w:p>
    <w:p w14:paraId="6356C7C6">
      <w:pPr>
        <w:rPr>
          <w:szCs w:val="24"/>
        </w:rPr>
      </w:pPr>
    </w:p>
    <w:p w14:paraId="133ADA23">
      <w:pPr>
        <w:rPr>
          <w:szCs w:val="24"/>
        </w:rPr>
      </w:pPr>
    </w:p>
    <w:p w14:paraId="53CF3712">
      <w:pPr>
        <w:rPr>
          <w:szCs w:val="24"/>
        </w:rPr>
      </w:pPr>
    </w:p>
    <w:p w14:paraId="4F809CE2">
      <w:pPr>
        <w:rPr>
          <w:szCs w:val="24"/>
        </w:rPr>
      </w:pPr>
    </w:p>
    <w:p w14:paraId="140F60CC">
      <w:pPr>
        <w:tabs>
          <w:tab w:val="left" w:pos="6720"/>
        </w:tabs>
        <w:rPr>
          <w:szCs w:val="24"/>
        </w:rPr>
      </w:pPr>
      <w:r>
        <w:rPr>
          <w:szCs w:val="24"/>
        </w:rPr>
        <w:tab/>
      </w:r>
    </w:p>
    <w:p w14:paraId="2D012BA8">
      <w:pPr>
        <w:rPr>
          <w:szCs w:val="24"/>
        </w:rPr>
      </w:pPr>
    </w:p>
    <w:p w14:paraId="20F492B1">
      <w:pPr>
        <w:rPr>
          <w:szCs w:val="24"/>
        </w:rPr>
        <w:sectPr>
          <w:type w:val="continuous"/>
          <w:pgSz w:w="11906" w:h="16838"/>
          <w:pgMar w:top="1440" w:right="1531" w:bottom="1440" w:left="1531" w:header="851" w:footer="992" w:gutter="0"/>
          <w:pgNumType w:fmt="upperRoman" w:start="1"/>
          <w:cols w:space="720" w:num="1"/>
          <w:docGrid w:type="linesAndChars" w:linePitch="312" w:charSpace="0"/>
        </w:sectPr>
      </w:pPr>
    </w:p>
    <w:p w14:paraId="61AC4ECA">
      <w:pPr>
        <w:jc w:val="center"/>
        <w:rPr>
          <w:rFonts w:eastAsia="黑体"/>
          <w:kern w:val="0"/>
          <w:sz w:val="32"/>
          <w:szCs w:val="32"/>
        </w:rPr>
      </w:pPr>
      <w:r>
        <w:rPr>
          <w:rFonts w:hint="eastAsia" w:eastAsia="黑体" w:cs="黑体"/>
          <w:kern w:val="0"/>
          <w:sz w:val="32"/>
          <w:szCs w:val="32"/>
        </w:rPr>
        <w:t>非对称流动场场流仪校准规范</w:t>
      </w:r>
    </w:p>
    <w:p w14:paraId="2A5787F5">
      <w:pPr>
        <w:pStyle w:val="2"/>
        <w:spacing w:line="360" w:lineRule="auto"/>
        <w:rPr>
          <w:rFonts w:ascii="黑体" w:hAnsi="黑体" w:eastAsia="黑体"/>
          <w:sz w:val="24"/>
          <w:szCs w:val="24"/>
        </w:rPr>
      </w:pPr>
      <w:bookmarkStart w:id="4" w:name="_Toc208913153"/>
      <w:r>
        <w:rPr>
          <w:rFonts w:hint="eastAsia" w:ascii="黑体" w:hAnsi="黑体" w:eastAsia="黑体"/>
          <w:sz w:val="24"/>
          <w:szCs w:val="24"/>
        </w:rPr>
        <w:t>1 范围</w:t>
      </w:r>
      <w:bookmarkEnd w:id="4"/>
    </w:p>
    <w:p w14:paraId="7B077D0B">
      <w:pPr>
        <w:spacing w:after="160" w:line="278" w:lineRule="auto"/>
        <w:ind w:firstLine="480"/>
        <w:rPr>
          <w:szCs w:val="24"/>
        </w:rPr>
      </w:pPr>
      <w:r>
        <w:rPr>
          <w:rFonts w:hint="eastAsia" w:cs="宋体"/>
          <w:szCs w:val="24"/>
        </w:rPr>
        <w:t>本规范适用于非对称流动场场流仪的校准。</w:t>
      </w:r>
      <w:r>
        <w:t>他类型的场流仪</w:t>
      </w:r>
      <w:r>
        <w:rPr>
          <w:rFonts w:hint="eastAsia"/>
        </w:rPr>
        <w:t>可以参考执行。</w:t>
      </w:r>
    </w:p>
    <w:p w14:paraId="6955144B">
      <w:pPr>
        <w:pStyle w:val="2"/>
        <w:spacing w:line="360" w:lineRule="auto"/>
        <w:rPr>
          <w:rFonts w:ascii="黑体" w:hAnsi="黑体" w:eastAsia="黑体"/>
          <w:sz w:val="24"/>
          <w:szCs w:val="24"/>
        </w:rPr>
      </w:pPr>
      <w:bookmarkStart w:id="5" w:name="_Toc208913154"/>
      <w:r>
        <w:rPr>
          <w:rFonts w:hint="eastAsia" w:ascii="黑体" w:hAnsi="黑体" w:eastAsia="黑体"/>
          <w:sz w:val="24"/>
          <w:szCs w:val="24"/>
        </w:rPr>
        <w:t>2 引用文件</w:t>
      </w:r>
      <w:bookmarkEnd w:id="5"/>
    </w:p>
    <w:p w14:paraId="7FF8607A">
      <w:pPr>
        <w:ind w:firstLine="480" w:firstLineChars="200"/>
      </w:pPr>
      <w:r>
        <w:rPr>
          <w:rFonts w:hint="eastAsia"/>
        </w:rPr>
        <w:t>本规范引用了下列文件：</w:t>
      </w:r>
    </w:p>
    <w:p w14:paraId="5015F21E">
      <w:pPr>
        <w:ind w:firstLine="480" w:firstLineChars="200"/>
      </w:pPr>
      <w:r>
        <w:rPr>
          <w:rFonts w:hint="eastAsia"/>
        </w:rPr>
        <w:t>JJF 1071-2010 国家计量校准规范编写规则</w:t>
      </w:r>
    </w:p>
    <w:p w14:paraId="4CD32F6E">
      <w:pPr>
        <w:ind w:firstLine="480" w:firstLineChars="200"/>
      </w:pPr>
      <w:r>
        <w:t>JJF1001-2011</w:t>
      </w:r>
      <w:r>
        <w:rPr>
          <w:rFonts w:hint="eastAsia"/>
        </w:rPr>
        <w:t>《通用计量术语及定义》</w:t>
      </w:r>
    </w:p>
    <w:p w14:paraId="41DBECD8">
      <w:pPr>
        <w:ind w:firstLine="480" w:firstLineChars="200"/>
      </w:pPr>
      <w:r>
        <w:t>JJF1059.1-2012</w:t>
      </w:r>
      <w:r>
        <w:rPr>
          <w:rFonts w:hint="eastAsia"/>
        </w:rPr>
        <w:t>《测量不确定度评定与表示》。</w:t>
      </w:r>
    </w:p>
    <w:p w14:paraId="166084D4">
      <w:pPr>
        <w:ind w:firstLine="480" w:firstLineChars="200"/>
        <w:rPr>
          <w:rFonts w:hint="eastAsia"/>
        </w:rPr>
      </w:pPr>
      <w:bookmarkStart w:id="6" w:name="_Hlk208930447"/>
      <w:r>
        <w:rPr>
          <w:rFonts w:hint="eastAsia"/>
        </w:rPr>
        <w:t>JJG342-2014《凝胶色谱仪》</w:t>
      </w:r>
    </w:p>
    <w:bookmarkEnd w:id="6"/>
    <w:p w14:paraId="124B176E">
      <w:pPr>
        <w:ind w:firstLine="480" w:firstLineChars="200"/>
        <w:rPr>
          <w:szCs w:val="24"/>
        </w:rPr>
      </w:pPr>
      <w:r>
        <w:rPr>
          <w:rFonts w:hint="eastAsia"/>
          <w:szCs w:val="24"/>
        </w:rPr>
        <w:t>凡是注日期的引用文件，仅注日期的版本适用于本规范。</w:t>
      </w:r>
    </w:p>
    <w:p w14:paraId="74936BAE">
      <w:pPr>
        <w:pStyle w:val="2"/>
        <w:spacing w:line="360" w:lineRule="auto"/>
        <w:rPr>
          <w:rFonts w:ascii="黑体" w:hAnsi="黑体" w:eastAsia="黑体" w:cs="黑体"/>
          <w:sz w:val="24"/>
          <w:szCs w:val="24"/>
        </w:rPr>
      </w:pPr>
      <w:bookmarkStart w:id="7" w:name="_Toc208913155"/>
      <w:r>
        <w:rPr>
          <w:rFonts w:hint="eastAsia" w:ascii="黑体" w:hAnsi="黑体" w:eastAsia="黑体"/>
          <w:sz w:val="24"/>
          <w:szCs w:val="24"/>
        </w:rPr>
        <w:t xml:space="preserve">3 </w:t>
      </w:r>
      <w:r>
        <w:rPr>
          <w:rFonts w:hint="eastAsia" w:ascii="黑体" w:hAnsi="黑体" w:eastAsia="黑体" w:cs="黑体"/>
          <w:sz w:val="24"/>
          <w:szCs w:val="24"/>
        </w:rPr>
        <w:t>概述</w:t>
      </w:r>
      <w:bookmarkEnd w:id="7"/>
    </w:p>
    <w:p w14:paraId="35778625">
      <w:pPr>
        <w:ind w:firstLine="480" w:firstLineChars="200"/>
        <w:rPr>
          <w:rFonts w:asciiTheme="minorEastAsia" w:hAnsiTheme="minorEastAsia"/>
        </w:rPr>
      </w:pPr>
      <w:r>
        <w:rPr>
          <w:rFonts w:hint="eastAsia" w:asciiTheme="minorEastAsia" w:hAnsiTheme="minorEastAsia"/>
        </w:rPr>
        <w:t>非对称流动场场流仪常用于纳米材料的分离与表征。相比于其他基于流体力学尺寸对样品进行分离与表征的技术，非对称流动场场流仪的分离更柔和，分离尺寸上限更高。仪器设备应包含：洗脱液贮槽、泵系统、进样器、通道、检测器、馏分收集器及数据处理系统等等。其中可能含有一台或多台泵，控制通道内流入与流出的洗脱液。</w:t>
      </w:r>
    </w:p>
    <w:p w14:paraId="4E1EE7D4">
      <w:pPr>
        <w:ind w:firstLine="480" w:firstLineChars="200"/>
        <w:rPr>
          <w:rFonts w:ascii="宋体" w:hAnsi="宋体" w:cs="宋体"/>
        </w:rPr>
      </w:pPr>
      <w:r>
        <w:rPr>
          <w:rFonts w:hint="eastAsia" w:ascii="宋体" w:hAnsi="宋体"/>
        </w:rPr>
        <w:t>图1为非对称流动场场流仪分离原理。流动相在超薄扁平通道内流动，由于层流形成抛物线型速度剖面，中心流速快，壁面为零。垂直于流动方向施加透过流场，将样品颗粒推向聚集壁。颗粒因布朗扩散产生离开壁面的趋势。小颗粒扩散系数大在靠近通道中心处平衡，流速快；大颗粒扩散系数小被压至近聚集壁处，流速慢。因此，小颗粒先洗脱，大颗粒后出，实现按流体力学尺寸分离。</w:t>
      </w:r>
    </w:p>
    <w:p w14:paraId="40427655">
      <w:pPr>
        <w:rPr>
          <w:rFonts w:asciiTheme="minorEastAsia" w:hAnsiTheme="minorEastAsia"/>
        </w:rPr>
      </w:pPr>
      <w:r>
        <w:drawing>
          <wp:inline distT="0" distB="0" distL="0" distR="0">
            <wp:extent cx="5579745" cy="2134870"/>
            <wp:effectExtent l="0" t="0" r="8255" b="11430"/>
            <wp:docPr id="97" name="图片 105"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105" descr="图片包含 图示&#10;&#10;AI 生成的内容可能不正确。"/>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579745" cy="2134870"/>
                    </a:xfrm>
                    <a:prstGeom prst="rect">
                      <a:avLst/>
                    </a:prstGeom>
                    <a:noFill/>
                    <a:ln>
                      <a:noFill/>
                    </a:ln>
                  </pic:spPr>
                </pic:pic>
              </a:graphicData>
            </a:graphic>
          </wp:inline>
        </w:drawing>
      </w:r>
    </w:p>
    <w:p w14:paraId="770CDEB2">
      <w:pPr>
        <w:ind w:firstLine="480" w:firstLineChars="200"/>
        <w:jc w:val="center"/>
        <w:rPr>
          <w:rFonts w:asciiTheme="minorEastAsia" w:hAnsiTheme="minorEastAsia" w:eastAsiaTheme="minorEastAsia"/>
          <w:szCs w:val="21"/>
        </w:rPr>
      </w:pPr>
      <w:r>
        <w:rPr>
          <w:rFonts w:hint="eastAsia" w:asciiTheme="minorEastAsia" w:hAnsiTheme="minorEastAsia" w:eastAsiaTheme="minorEastAsia"/>
          <w:szCs w:val="21"/>
        </w:rPr>
        <w:t xml:space="preserve">图1 </w:t>
      </w:r>
      <w:r>
        <w:rPr>
          <w:rFonts w:hint="eastAsia"/>
        </w:rPr>
        <w:t>场流分离原理示意图</w:t>
      </w:r>
    </w:p>
    <w:p w14:paraId="75D54F31">
      <w:pPr>
        <w:pStyle w:val="2"/>
        <w:spacing w:line="360" w:lineRule="auto"/>
        <w:rPr>
          <w:rFonts w:ascii="黑体" w:hAnsi="黑体" w:eastAsia="黑体" w:cs="黑体"/>
          <w:sz w:val="24"/>
          <w:szCs w:val="24"/>
        </w:rPr>
      </w:pPr>
      <w:bookmarkStart w:id="8" w:name="_Toc208913156"/>
      <w:r>
        <w:rPr>
          <w:rFonts w:hint="eastAsia" w:ascii="黑体" w:hAnsi="黑体" w:eastAsia="黑体"/>
          <w:sz w:val="24"/>
          <w:szCs w:val="24"/>
        </w:rPr>
        <w:t>4</w:t>
      </w:r>
      <w:r>
        <w:rPr>
          <w:rFonts w:ascii="黑体" w:hAnsi="黑体" w:eastAsia="黑体"/>
          <w:sz w:val="24"/>
          <w:szCs w:val="24"/>
        </w:rPr>
        <w:t xml:space="preserve"> </w:t>
      </w:r>
      <w:r>
        <w:rPr>
          <w:rFonts w:hint="eastAsia" w:ascii="黑体" w:hAnsi="黑体" w:eastAsia="黑体" w:cs="黑体"/>
          <w:sz w:val="24"/>
          <w:szCs w:val="24"/>
        </w:rPr>
        <w:t>计量特性</w:t>
      </w:r>
      <w:bookmarkEnd w:id="8"/>
    </w:p>
    <w:p w14:paraId="623F7C9A">
      <w:pPr>
        <w:ind w:firstLine="480" w:firstLineChars="200"/>
      </w:pPr>
      <w:r>
        <w:rPr>
          <w:rFonts w:hint="eastAsia"/>
        </w:rPr>
        <w:t>非对称流动场场流仪的主要计量特性见表1。</w:t>
      </w:r>
    </w:p>
    <w:p w14:paraId="2C90431A">
      <w:pPr>
        <w:jc w:val="center"/>
      </w:pPr>
      <w:r>
        <w:rPr>
          <w:rFonts w:hint="eastAsia" w:ascii="黑体" w:hAnsi="黑体" w:eastAsia="黑体"/>
          <w:szCs w:val="24"/>
        </w:rPr>
        <w:t>表1 非对称流动场场流仪的主要计量特性</w:t>
      </w:r>
    </w:p>
    <w:tbl>
      <w:tblPr>
        <w:tblStyle w:val="28"/>
        <w:tblW w:w="499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3"/>
        <w:gridCol w:w="2787"/>
        <w:gridCol w:w="2529"/>
        <w:gridCol w:w="2963"/>
      </w:tblGrid>
      <w:tr w14:paraId="6D19D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422" w:type="pct"/>
            <w:vAlign w:val="center"/>
          </w:tcPr>
          <w:p w14:paraId="3E81FBD1">
            <w:pPr>
              <w:spacing w:line="240" w:lineRule="auto"/>
              <w:jc w:val="center"/>
            </w:pPr>
            <w:r>
              <w:rPr>
                <w:rFonts w:hint="eastAsia"/>
              </w:rPr>
              <w:t>序号</w:t>
            </w:r>
          </w:p>
        </w:tc>
        <w:tc>
          <w:tcPr>
            <w:tcW w:w="1541" w:type="pct"/>
            <w:vAlign w:val="center"/>
          </w:tcPr>
          <w:p w14:paraId="1BA647CF">
            <w:pPr>
              <w:spacing w:line="240" w:lineRule="auto"/>
              <w:jc w:val="center"/>
            </w:pPr>
            <w:r>
              <w:rPr>
                <w:rFonts w:hint="eastAsia"/>
              </w:rPr>
              <w:t>校准项目</w:t>
            </w:r>
          </w:p>
        </w:tc>
        <w:tc>
          <w:tcPr>
            <w:tcW w:w="3036" w:type="pct"/>
            <w:gridSpan w:val="2"/>
            <w:vAlign w:val="center"/>
          </w:tcPr>
          <w:p w14:paraId="551DA398">
            <w:pPr>
              <w:spacing w:line="240" w:lineRule="auto"/>
              <w:jc w:val="center"/>
            </w:pPr>
            <w:r>
              <w:rPr>
                <w:rFonts w:hint="eastAsia"/>
              </w:rPr>
              <w:t>计量性能指标</w:t>
            </w:r>
          </w:p>
        </w:tc>
      </w:tr>
      <w:tr w14:paraId="2B69A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22" w:type="pct"/>
            <w:vAlign w:val="center"/>
          </w:tcPr>
          <w:p w14:paraId="1476DE22">
            <w:pPr>
              <w:spacing w:line="240" w:lineRule="auto"/>
              <w:jc w:val="center"/>
            </w:pPr>
            <w:r>
              <w:rPr>
                <w:rFonts w:hint="eastAsia"/>
              </w:rPr>
              <w:t>1</w:t>
            </w:r>
          </w:p>
        </w:tc>
        <w:tc>
          <w:tcPr>
            <w:tcW w:w="1541" w:type="pct"/>
            <w:vAlign w:val="center"/>
          </w:tcPr>
          <w:p w14:paraId="2F346C6F">
            <w:pPr>
              <w:spacing w:line="240" w:lineRule="auto"/>
              <w:jc w:val="center"/>
            </w:pPr>
            <w:r>
              <w:rPr>
                <w:rFonts w:hint="eastAsia"/>
              </w:rPr>
              <w:t>泵流量稳定性</w:t>
            </w:r>
          </w:p>
        </w:tc>
        <w:tc>
          <w:tcPr>
            <w:tcW w:w="3036" w:type="pct"/>
            <w:gridSpan w:val="2"/>
            <w:vAlign w:val="center"/>
          </w:tcPr>
          <w:p w14:paraId="0930AD01">
            <w:pPr>
              <w:spacing w:line="240" w:lineRule="auto"/>
              <w:jc w:val="center"/>
            </w:pPr>
            <w:bookmarkStart w:id="9" w:name="_Hlk208930474"/>
            <w:r>
              <w:rPr>
                <w:rFonts w:hint="eastAsia"/>
              </w:rPr>
              <w:t>小于1.0%</w:t>
            </w:r>
            <w:bookmarkEnd w:id="9"/>
          </w:p>
        </w:tc>
      </w:tr>
      <w:tr w14:paraId="59BC5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422" w:type="pct"/>
            <w:vMerge w:val="restart"/>
            <w:vAlign w:val="center"/>
          </w:tcPr>
          <w:p w14:paraId="0F668625">
            <w:pPr>
              <w:spacing w:line="240" w:lineRule="auto"/>
              <w:jc w:val="center"/>
            </w:pPr>
            <w:r>
              <w:rPr>
                <w:rFonts w:hint="eastAsia"/>
              </w:rPr>
              <w:t>2</w:t>
            </w:r>
          </w:p>
        </w:tc>
        <w:tc>
          <w:tcPr>
            <w:tcW w:w="1541" w:type="pct"/>
            <w:vMerge w:val="restart"/>
            <w:vAlign w:val="center"/>
          </w:tcPr>
          <w:p w14:paraId="6B34F635">
            <w:pPr>
              <w:spacing w:line="240" w:lineRule="auto"/>
              <w:jc w:val="center"/>
            </w:pPr>
            <w:r>
              <w:rPr>
                <w:rFonts w:hint="eastAsia"/>
              </w:rPr>
              <w:t>检测器基线噪声</w:t>
            </w:r>
          </w:p>
        </w:tc>
        <w:tc>
          <w:tcPr>
            <w:tcW w:w="1398" w:type="pct"/>
            <w:vAlign w:val="center"/>
          </w:tcPr>
          <w:p w14:paraId="139C300D">
            <w:pPr>
              <w:spacing w:line="240" w:lineRule="auto"/>
              <w:jc w:val="center"/>
            </w:pPr>
            <w:r>
              <w:rPr>
                <w:rFonts w:hint="eastAsia"/>
              </w:rPr>
              <w:t>示差检测器</w:t>
            </w:r>
          </w:p>
        </w:tc>
        <w:tc>
          <w:tcPr>
            <w:tcW w:w="1638" w:type="pct"/>
            <w:vAlign w:val="center"/>
          </w:tcPr>
          <w:p w14:paraId="69D63501">
            <w:pPr>
              <w:spacing w:line="240" w:lineRule="auto"/>
              <w:jc w:val="center"/>
            </w:pPr>
            <w:r>
              <w:rPr>
                <w:rFonts w:hint="eastAsia"/>
              </w:rPr>
              <w:t>小于0.1%FS</w:t>
            </w:r>
          </w:p>
        </w:tc>
      </w:tr>
      <w:tr w14:paraId="2E4E3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422" w:type="pct"/>
            <w:vMerge w:val="continue"/>
            <w:vAlign w:val="center"/>
          </w:tcPr>
          <w:p w14:paraId="5DA74DE6">
            <w:pPr>
              <w:spacing w:line="240" w:lineRule="auto"/>
              <w:jc w:val="center"/>
            </w:pPr>
          </w:p>
        </w:tc>
        <w:tc>
          <w:tcPr>
            <w:tcW w:w="1541" w:type="pct"/>
            <w:vMerge w:val="continue"/>
            <w:vAlign w:val="center"/>
          </w:tcPr>
          <w:p w14:paraId="76644D3D">
            <w:pPr>
              <w:spacing w:line="240" w:lineRule="auto"/>
              <w:jc w:val="center"/>
            </w:pPr>
          </w:p>
        </w:tc>
        <w:tc>
          <w:tcPr>
            <w:tcW w:w="1398" w:type="pct"/>
            <w:vAlign w:val="center"/>
          </w:tcPr>
          <w:p w14:paraId="7FB1E365">
            <w:pPr>
              <w:spacing w:line="240" w:lineRule="auto"/>
              <w:jc w:val="center"/>
            </w:pPr>
            <w:r>
              <w:rPr>
                <w:rFonts w:hint="eastAsia"/>
              </w:rPr>
              <w:t>紫外检测器</w:t>
            </w:r>
          </w:p>
        </w:tc>
        <w:tc>
          <w:tcPr>
            <w:tcW w:w="1638" w:type="pct"/>
            <w:vAlign w:val="center"/>
          </w:tcPr>
          <w:p w14:paraId="00F41174">
            <w:pPr>
              <w:spacing w:line="240" w:lineRule="auto"/>
              <w:jc w:val="center"/>
            </w:pPr>
            <w:r>
              <w:rPr>
                <w:rFonts w:hint="eastAsia"/>
              </w:rPr>
              <w:t>小于0.1%FS</w:t>
            </w:r>
          </w:p>
        </w:tc>
      </w:tr>
      <w:tr w14:paraId="3ED66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422" w:type="pct"/>
            <w:vMerge w:val="continue"/>
            <w:vAlign w:val="center"/>
          </w:tcPr>
          <w:p w14:paraId="0AD47F48">
            <w:pPr>
              <w:spacing w:line="240" w:lineRule="auto"/>
              <w:jc w:val="center"/>
            </w:pPr>
          </w:p>
        </w:tc>
        <w:tc>
          <w:tcPr>
            <w:tcW w:w="1541" w:type="pct"/>
            <w:vMerge w:val="continue"/>
            <w:vAlign w:val="center"/>
          </w:tcPr>
          <w:p w14:paraId="1523B1AE">
            <w:pPr>
              <w:spacing w:line="240" w:lineRule="auto"/>
              <w:jc w:val="center"/>
            </w:pPr>
          </w:p>
        </w:tc>
        <w:tc>
          <w:tcPr>
            <w:tcW w:w="1398" w:type="pct"/>
            <w:vAlign w:val="center"/>
          </w:tcPr>
          <w:p w14:paraId="3C8BBE8E">
            <w:pPr>
              <w:spacing w:line="240" w:lineRule="auto"/>
              <w:jc w:val="center"/>
            </w:pPr>
            <w:r>
              <w:rPr>
                <w:rFonts w:hint="eastAsia"/>
              </w:rPr>
              <w:t>光散射检测器</w:t>
            </w:r>
          </w:p>
        </w:tc>
        <w:tc>
          <w:tcPr>
            <w:tcW w:w="1638" w:type="pct"/>
            <w:vAlign w:val="center"/>
          </w:tcPr>
          <w:p w14:paraId="15642B1B">
            <w:pPr>
              <w:spacing w:line="240" w:lineRule="auto"/>
              <w:jc w:val="center"/>
            </w:pPr>
            <w:r>
              <w:rPr>
                <w:rFonts w:hint="eastAsia"/>
              </w:rPr>
              <w:t>小于0.3%FS</w:t>
            </w:r>
          </w:p>
        </w:tc>
      </w:tr>
      <w:tr w14:paraId="57CC7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422" w:type="pct"/>
            <w:vMerge w:val="restart"/>
            <w:vAlign w:val="center"/>
          </w:tcPr>
          <w:p w14:paraId="4885E3B6">
            <w:pPr>
              <w:spacing w:line="240" w:lineRule="auto"/>
              <w:jc w:val="center"/>
            </w:pPr>
            <w:r>
              <w:rPr>
                <w:rFonts w:hint="eastAsia"/>
              </w:rPr>
              <w:t>3</w:t>
            </w:r>
          </w:p>
        </w:tc>
        <w:tc>
          <w:tcPr>
            <w:tcW w:w="1541" w:type="pct"/>
            <w:vMerge w:val="restart"/>
            <w:vAlign w:val="center"/>
          </w:tcPr>
          <w:p w14:paraId="537D9ED3">
            <w:pPr>
              <w:spacing w:line="240" w:lineRule="auto"/>
              <w:jc w:val="center"/>
            </w:pPr>
            <w:r>
              <w:rPr>
                <w:rFonts w:hint="eastAsia"/>
              </w:rPr>
              <w:t>检测器基线漂移</w:t>
            </w:r>
          </w:p>
        </w:tc>
        <w:tc>
          <w:tcPr>
            <w:tcW w:w="1398" w:type="pct"/>
            <w:vAlign w:val="center"/>
          </w:tcPr>
          <w:p w14:paraId="1542D919">
            <w:pPr>
              <w:spacing w:line="240" w:lineRule="auto"/>
              <w:jc w:val="center"/>
            </w:pPr>
            <w:r>
              <w:rPr>
                <w:rFonts w:hint="eastAsia"/>
              </w:rPr>
              <w:t>示差检测器</w:t>
            </w:r>
          </w:p>
        </w:tc>
        <w:tc>
          <w:tcPr>
            <w:tcW w:w="1638" w:type="pct"/>
            <w:vAlign w:val="center"/>
          </w:tcPr>
          <w:p w14:paraId="408F62C2">
            <w:pPr>
              <w:spacing w:line="240" w:lineRule="auto"/>
              <w:jc w:val="center"/>
            </w:pPr>
            <w:r>
              <w:rPr>
                <w:rFonts w:hint="eastAsia"/>
              </w:rPr>
              <w:t>小于1.0%FS·h</w:t>
            </w:r>
            <w:r>
              <w:rPr>
                <w:rFonts w:hint="eastAsia"/>
                <w:vertAlign w:val="superscript"/>
              </w:rPr>
              <w:t>-1</w:t>
            </w:r>
          </w:p>
        </w:tc>
      </w:tr>
      <w:tr w14:paraId="258CE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422" w:type="pct"/>
            <w:vMerge w:val="continue"/>
            <w:vAlign w:val="center"/>
          </w:tcPr>
          <w:p w14:paraId="7ABE2BD9">
            <w:pPr>
              <w:spacing w:line="240" w:lineRule="auto"/>
              <w:jc w:val="center"/>
            </w:pPr>
          </w:p>
        </w:tc>
        <w:tc>
          <w:tcPr>
            <w:tcW w:w="1541" w:type="pct"/>
            <w:vMerge w:val="continue"/>
            <w:vAlign w:val="center"/>
          </w:tcPr>
          <w:p w14:paraId="6CA52169">
            <w:pPr>
              <w:spacing w:line="240" w:lineRule="auto"/>
              <w:jc w:val="center"/>
            </w:pPr>
          </w:p>
        </w:tc>
        <w:tc>
          <w:tcPr>
            <w:tcW w:w="1398" w:type="pct"/>
            <w:vAlign w:val="center"/>
          </w:tcPr>
          <w:p w14:paraId="15FFA378">
            <w:pPr>
              <w:spacing w:line="240" w:lineRule="auto"/>
              <w:jc w:val="center"/>
            </w:pPr>
            <w:r>
              <w:rPr>
                <w:rFonts w:hint="eastAsia"/>
              </w:rPr>
              <w:t>紫外检测器</w:t>
            </w:r>
          </w:p>
        </w:tc>
        <w:tc>
          <w:tcPr>
            <w:tcW w:w="1638" w:type="pct"/>
            <w:vAlign w:val="center"/>
          </w:tcPr>
          <w:p w14:paraId="0B2F02D8">
            <w:pPr>
              <w:spacing w:line="240" w:lineRule="auto"/>
              <w:jc w:val="center"/>
            </w:pPr>
            <w:r>
              <w:rPr>
                <w:rFonts w:hint="eastAsia"/>
              </w:rPr>
              <w:t>小于4.0%FS·h</w:t>
            </w:r>
            <w:r>
              <w:rPr>
                <w:rFonts w:hint="eastAsia"/>
                <w:vertAlign w:val="superscript"/>
              </w:rPr>
              <w:t>-1</w:t>
            </w:r>
          </w:p>
        </w:tc>
      </w:tr>
      <w:tr w14:paraId="1DA96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422" w:type="pct"/>
            <w:vMerge w:val="continue"/>
            <w:vAlign w:val="center"/>
          </w:tcPr>
          <w:p w14:paraId="44C6BF49">
            <w:pPr>
              <w:spacing w:line="240" w:lineRule="auto"/>
              <w:jc w:val="center"/>
            </w:pPr>
          </w:p>
        </w:tc>
        <w:tc>
          <w:tcPr>
            <w:tcW w:w="1541" w:type="pct"/>
            <w:vMerge w:val="continue"/>
            <w:vAlign w:val="center"/>
          </w:tcPr>
          <w:p w14:paraId="17A5396D">
            <w:pPr>
              <w:spacing w:line="240" w:lineRule="auto"/>
              <w:jc w:val="center"/>
            </w:pPr>
          </w:p>
        </w:tc>
        <w:tc>
          <w:tcPr>
            <w:tcW w:w="1398" w:type="pct"/>
            <w:vAlign w:val="center"/>
          </w:tcPr>
          <w:p w14:paraId="3898BF46">
            <w:pPr>
              <w:spacing w:line="240" w:lineRule="auto"/>
              <w:jc w:val="center"/>
            </w:pPr>
            <w:r>
              <w:rPr>
                <w:rFonts w:hint="eastAsia"/>
              </w:rPr>
              <w:t>光散射检测器</w:t>
            </w:r>
          </w:p>
        </w:tc>
        <w:tc>
          <w:tcPr>
            <w:tcW w:w="1638" w:type="pct"/>
            <w:vAlign w:val="center"/>
          </w:tcPr>
          <w:p w14:paraId="56EEAE81">
            <w:pPr>
              <w:spacing w:line="240" w:lineRule="auto"/>
              <w:jc w:val="center"/>
            </w:pPr>
            <w:r>
              <w:rPr>
                <w:rFonts w:hint="eastAsia"/>
              </w:rPr>
              <w:t>小于1.0%FS·h</w:t>
            </w:r>
            <w:r>
              <w:rPr>
                <w:rFonts w:hint="eastAsia"/>
                <w:vertAlign w:val="superscript"/>
              </w:rPr>
              <w:t>-1</w:t>
            </w:r>
          </w:p>
        </w:tc>
      </w:tr>
      <w:tr w14:paraId="29E2D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422" w:type="pct"/>
            <w:vMerge w:val="restart"/>
            <w:vAlign w:val="center"/>
          </w:tcPr>
          <w:p w14:paraId="29FB0D13">
            <w:pPr>
              <w:spacing w:line="240" w:lineRule="auto"/>
              <w:jc w:val="center"/>
            </w:pPr>
            <w:bookmarkStart w:id="10" w:name="_Hlk208931985"/>
            <w:r>
              <w:rPr>
                <w:rFonts w:hint="eastAsia"/>
              </w:rPr>
              <w:t>4</w:t>
            </w:r>
          </w:p>
        </w:tc>
        <w:tc>
          <w:tcPr>
            <w:tcW w:w="1541" w:type="pct"/>
            <w:vMerge w:val="restart"/>
            <w:vAlign w:val="center"/>
          </w:tcPr>
          <w:p w14:paraId="1F316D18">
            <w:pPr>
              <w:spacing w:line="240" w:lineRule="auto"/>
              <w:jc w:val="center"/>
            </w:pPr>
            <w:r>
              <w:rPr>
                <w:rFonts w:hint="eastAsia"/>
              </w:rPr>
              <w:t>仪器测量最大允许误差</w:t>
            </w:r>
          </w:p>
        </w:tc>
        <w:tc>
          <w:tcPr>
            <w:tcW w:w="3036" w:type="pct"/>
            <w:gridSpan w:val="2"/>
            <w:vAlign w:val="center"/>
          </w:tcPr>
          <w:p w14:paraId="4632E75E">
            <w:pPr>
              <w:spacing w:line="240" w:lineRule="auto"/>
              <w:jc w:val="center"/>
            </w:pPr>
            <w:r>
              <w:rPr>
                <w:rFonts w:hint="eastAsia"/>
              </w:rPr>
              <w:t>有机流动相时，分子量±10.0%，回转半径±5%</w:t>
            </w:r>
          </w:p>
        </w:tc>
      </w:tr>
      <w:tr w14:paraId="40A6D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422" w:type="pct"/>
            <w:vMerge w:val="continue"/>
            <w:vAlign w:val="center"/>
          </w:tcPr>
          <w:p w14:paraId="416CE79E">
            <w:pPr>
              <w:spacing w:line="240" w:lineRule="auto"/>
              <w:jc w:val="center"/>
            </w:pPr>
          </w:p>
        </w:tc>
        <w:tc>
          <w:tcPr>
            <w:tcW w:w="1541" w:type="pct"/>
            <w:vMerge w:val="continue"/>
            <w:vAlign w:val="center"/>
          </w:tcPr>
          <w:p w14:paraId="09FE63DB">
            <w:pPr>
              <w:spacing w:line="240" w:lineRule="auto"/>
              <w:jc w:val="center"/>
            </w:pPr>
          </w:p>
        </w:tc>
        <w:tc>
          <w:tcPr>
            <w:tcW w:w="3036" w:type="pct"/>
            <w:gridSpan w:val="2"/>
            <w:vAlign w:val="center"/>
          </w:tcPr>
          <w:p w14:paraId="7F4978A9">
            <w:pPr>
              <w:spacing w:line="240" w:lineRule="auto"/>
              <w:jc w:val="center"/>
            </w:pPr>
            <w:r>
              <w:rPr>
                <w:rFonts w:hint="eastAsia"/>
              </w:rPr>
              <w:t>水流动相时，分子量±10.0%，回转半径±10%</w:t>
            </w:r>
          </w:p>
        </w:tc>
      </w:tr>
      <w:bookmarkEnd w:id="10"/>
      <w:tr w14:paraId="685F5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422" w:type="pct"/>
            <w:vAlign w:val="center"/>
          </w:tcPr>
          <w:p w14:paraId="7F4869F5">
            <w:pPr>
              <w:spacing w:line="240" w:lineRule="auto"/>
              <w:jc w:val="center"/>
            </w:pPr>
            <w:r>
              <w:rPr>
                <w:rFonts w:hint="eastAsia"/>
              </w:rPr>
              <w:t>5</w:t>
            </w:r>
          </w:p>
        </w:tc>
        <w:tc>
          <w:tcPr>
            <w:tcW w:w="1541" w:type="pct"/>
            <w:vAlign w:val="center"/>
          </w:tcPr>
          <w:p w14:paraId="1815DB76">
            <w:pPr>
              <w:spacing w:line="240" w:lineRule="auto"/>
              <w:jc w:val="center"/>
            </w:pPr>
            <w:r>
              <w:rPr>
                <w:rFonts w:hint="eastAsia"/>
              </w:rPr>
              <w:t>仪器测量重复性</w:t>
            </w:r>
          </w:p>
        </w:tc>
        <w:tc>
          <w:tcPr>
            <w:tcW w:w="3036" w:type="pct"/>
            <w:gridSpan w:val="2"/>
            <w:vAlign w:val="center"/>
          </w:tcPr>
          <w:p w14:paraId="1990F04C">
            <w:pPr>
              <w:spacing w:line="240" w:lineRule="auto"/>
              <w:jc w:val="center"/>
            </w:pPr>
            <w:r>
              <w:rPr>
                <w:rFonts w:hint="eastAsia"/>
              </w:rPr>
              <w:t>不超过5.0%</w:t>
            </w:r>
          </w:p>
        </w:tc>
      </w:tr>
    </w:tbl>
    <w:p w14:paraId="4CE707D8">
      <w:pPr>
        <w:pStyle w:val="2"/>
        <w:rPr>
          <w:rFonts w:ascii="黑体" w:hAnsi="黑体" w:eastAsia="黑体"/>
          <w:sz w:val="24"/>
          <w:szCs w:val="24"/>
        </w:rPr>
      </w:pPr>
      <w:bookmarkStart w:id="11" w:name="_Toc239325840"/>
      <w:bookmarkStart w:id="12" w:name="_Toc208913157"/>
      <w:r>
        <w:rPr>
          <w:rFonts w:hint="eastAsia" w:ascii="黑体" w:hAnsi="黑体" w:eastAsia="黑体"/>
          <w:kern w:val="0"/>
          <w:sz w:val="24"/>
          <w:szCs w:val="24"/>
        </w:rPr>
        <w:t>5</w:t>
      </w:r>
      <w:r>
        <w:rPr>
          <w:rFonts w:ascii="黑体" w:hAnsi="黑体" w:eastAsia="黑体"/>
          <w:kern w:val="0"/>
          <w:sz w:val="24"/>
          <w:szCs w:val="24"/>
        </w:rPr>
        <w:t xml:space="preserve">  </w:t>
      </w:r>
      <w:r>
        <w:rPr>
          <w:rFonts w:hint="eastAsia" w:ascii="黑体" w:hAnsi="黑体" w:eastAsia="黑体" w:cs="黑体"/>
          <w:sz w:val="24"/>
          <w:szCs w:val="24"/>
        </w:rPr>
        <w:t>校准条件</w:t>
      </w:r>
      <w:bookmarkEnd w:id="11"/>
      <w:bookmarkEnd w:id="12"/>
      <w:bookmarkStart w:id="13" w:name="_Toc239325841"/>
      <w:bookmarkStart w:id="14" w:name="_Toc9751360"/>
    </w:p>
    <w:p w14:paraId="5624B8F7">
      <w:pPr>
        <w:pStyle w:val="2"/>
        <w:rPr>
          <w:rFonts w:ascii="黑体" w:hAnsi="黑体" w:eastAsia="黑体"/>
          <w:sz w:val="24"/>
          <w:szCs w:val="24"/>
        </w:rPr>
      </w:pPr>
      <w:bookmarkStart w:id="15" w:name="_Toc208913158"/>
      <w:r>
        <w:rPr>
          <w:rFonts w:hint="eastAsia" w:ascii="黑体" w:hAnsi="黑体" w:eastAsia="黑体"/>
          <w:sz w:val="24"/>
          <w:szCs w:val="24"/>
        </w:rPr>
        <w:t>5</w:t>
      </w:r>
      <w:r>
        <w:rPr>
          <w:rFonts w:ascii="黑体" w:hAnsi="黑体" w:eastAsia="黑体"/>
          <w:sz w:val="24"/>
          <w:szCs w:val="24"/>
        </w:rPr>
        <w:t xml:space="preserve">.1 </w:t>
      </w:r>
      <w:r>
        <w:rPr>
          <w:rFonts w:hint="eastAsia" w:ascii="黑体" w:hAnsi="黑体" w:eastAsia="黑体"/>
          <w:sz w:val="24"/>
          <w:szCs w:val="24"/>
        </w:rPr>
        <w:t>环境条件</w:t>
      </w:r>
      <w:bookmarkEnd w:id="13"/>
      <w:bookmarkEnd w:id="14"/>
      <w:bookmarkEnd w:id="15"/>
      <w:bookmarkStart w:id="16" w:name="_Toc239324749"/>
      <w:bookmarkStart w:id="17" w:name="_Toc239325842"/>
    </w:p>
    <w:bookmarkEnd w:id="16"/>
    <w:bookmarkEnd w:id="17"/>
    <w:p w14:paraId="59D8D137">
      <w:pPr>
        <w:rPr>
          <w:szCs w:val="24"/>
        </w:rPr>
      </w:pPr>
      <w:r>
        <w:rPr>
          <w:rFonts w:hint="eastAsia"/>
          <w:szCs w:val="24"/>
        </w:rPr>
        <w:t>5.1.1</w:t>
      </w:r>
      <w:r>
        <w:rPr>
          <w:rFonts w:hint="eastAsia" w:asciiTheme="minorEastAsia" w:hAnsiTheme="minorEastAsia" w:eastAsiaTheme="minorEastAsia"/>
          <w:szCs w:val="24"/>
        </w:rPr>
        <w:t xml:space="preserve"> </w:t>
      </w:r>
      <w:r>
        <w:rPr>
          <w:rFonts w:hint="eastAsia"/>
          <w:szCs w:val="24"/>
        </w:rPr>
        <w:t>温度：(15~30</w:t>
      </w:r>
      <w:r>
        <w:rPr>
          <w:szCs w:val="24"/>
        </w:rPr>
        <w:t>)</w:t>
      </w:r>
      <w:r>
        <w:rPr>
          <w:rFonts w:hint="eastAsia" w:ascii="宋体" w:hAnsi="宋体"/>
          <w:szCs w:val="24"/>
        </w:rPr>
        <w:t>℃,</w:t>
      </w:r>
      <w:r>
        <w:rPr>
          <w:rFonts w:hint="eastAsia"/>
          <w:szCs w:val="24"/>
        </w:rPr>
        <w:t>校准过程中温度波动不超过±2℃。</w:t>
      </w:r>
    </w:p>
    <w:p w14:paraId="6DDF23FD">
      <w:pPr>
        <w:rPr>
          <w:szCs w:val="24"/>
        </w:rPr>
      </w:pPr>
      <w:r>
        <w:rPr>
          <w:rFonts w:hint="eastAsia"/>
          <w:szCs w:val="24"/>
        </w:rPr>
        <w:t>5.1.2</w:t>
      </w:r>
      <w:r>
        <w:rPr>
          <w:rFonts w:hint="eastAsia" w:asciiTheme="minorEastAsia" w:hAnsiTheme="minorEastAsia" w:eastAsiaTheme="minorEastAsia"/>
          <w:szCs w:val="24"/>
        </w:rPr>
        <w:t xml:space="preserve"> </w:t>
      </w:r>
      <w:r>
        <w:rPr>
          <w:rFonts w:hint="eastAsia"/>
          <w:szCs w:val="24"/>
        </w:rPr>
        <w:t>湿度：</w:t>
      </w:r>
      <w:r>
        <w:rPr>
          <w:rFonts w:hint="eastAsia" w:ascii="宋体"/>
          <w:szCs w:val="24"/>
        </w:rPr>
        <w:t>≤</w:t>
      </w:r>
      <w:r>
        <w:rPr>
          <w:szCs w:val="24"/>
        </w:rPr>
        <w:t>75%</w:t>
      </w:r>
      <w:r>
        <w:rPr>
          <w:rFonts w:hint="eastAsia"/>
          <w:szCs w:val="24"/>
        </w:rPr>
        <w:t>RH。</w:t>
      </w:r>
    </w:p>
    <w:p w14:paraId="2474882A">
      <w:pPr>
        <w:rPr>
          <w:szCs w:val="24"/>
        </w:rPr>
      </w:pPr>
      <w:r>
        <w:rPr>
          <w:rFonts w:hint="eastAsia"/>
          <w:szCs w:val="24"/>
        </w:rPr>
        <w:t>5.1.3</w:t>
      </w:r>
      <w:r>
        <w:rPr>
          <w:rFonts w:hint="eastAsia" w:asciiTheme="minorEastAsia" w:hAnsiTheme="minorEastAsia" w:eastAsiaTheme="minorEastAsia"/>
          <w:szCs w:val="24"/>
        </w:rPr>
        <w:t xml:space="preserve"> 周围应</w:t>
      </w:r>
      <w:r>
        <w:rPr>
          <w:rFonts w:hint="eastAsia"/>
          <w:szCs w:val="24"/>
        </w:rPr>
        <w:t>无影响测量的灰尘、振动等干扰。</w:t>
      </w:r>
    </w:p>
    <w:p w14:paraId="2598726D">
      <w:pPr>
        <w:pStyle w:val="2"/>
        <w:spacing w:line="360" w:lineRule="auto"/>
        <w:rPr>
          <w:rFonts w:ascii="黑体" w:hAnsi="黑体" w:eastAsia="黑体"/>
          <w:sz w:val="24"/>
          <w:szCs w:val="24"/>
        </w:rPr>
      </w:pPr>
      <w:bookmarkStart w:id="18" w:name="_Toc239325846"/>
      <w:bookmarkStart w:id="19" w:name="_Toc208913159"/>
      <w:r>
        <w:rPr>
          <w:rFonts w:hint="eastAsia" w:ascii="黑体" w:hAnsi="黑体" w:eastAsia="黑体"/>
          <w:sz w:val="24"/>
          <w:szCs w:val="24"/>
        </w:rPr>
        <w:t>5</w:t>
      </w:r>
      <w:r>
        <w:rPr>
          <w:rFonts w:ascii="黑体" w:hAnsi="黑体" w:eastAsia="黑体"/>
          <w:sz w:val="24"/>
          <w:szCs w:val="24"/>
        </w:rPr>
        <w:t xml:space="preserve">.2 </w:t>
      </w:r>
      <w:bookmarkEnd w:id="18"/>
      <w:bookmarkStart w:id="20" w:name="_Toc239325850"/>
      <w:r>
        <w:rPr>
          <w:rFonts w:hint="eastAsia" w:ascii="黑体" w:hAnsi="黑体" w:eastAsia="黑体"/>
          <w:sz w:val="24"/>
          <w:szCs w:val="24"/>
        </w:rPr>
        <w:t>测量标准及其他设备</w:t>
      </w:r>
      <w:bookmarkEnd w:id="19"/>
    </w:p>
    <w:p w14:paraId="646A77CB">
      <w:pPr>
        <w:pStyle w:val="54"/>
        <w:spacing w:line="360" w:lineRule="auto"/>
        <w:ind w:firstLine="480"/>
        <w:rPr>
          <w:rFonts w:ascii="Times New Roman" w:cs="Times New Roman"/>
          <w:kern w:val="2"/>
          <w:sz w:val="24"/>
          <w:szCs w:val="24"/>
        </w:rPr>
      </w:pPr>
      <w:r>
        <w:rPr>
          <w:rFonts w:hint="eastAsia" w:ascii="Times New Roman" w:cs="Times New Roman"/>
          <w:kern w:val="2"/>
          <w:sz w:val="24"/>
          <w:szCs w:val="24"/>
        </w:rPr>
        <w:t>测量标准及其技术要求见表</w:t>
      </w:r>
      <w:r>
        <w:rPr>
          <w:rFonts w:ascii="Times New Roman" w:cs="Times New Roman"/>
          <w:kern w:val="2"/>
          <w:sz w:val="24"/>
          <w:szCs w:val="24"/>
        </w:rPr>
        <w:t>2</w:t>
      </w:r>
      <w:r>
        <w:rPr>
          <w:rFonts w:hint="eastAsia" w:ascii="Times New Roman" w:cs="Times New Roman"/>
          <w:kern w:val="2"/>
          <w:sz w:val="24"/>
          <w:szCs w:val="24"/>
        </w:rPr>
        <w:t>。</w:t>
      </w:r>
    </w:p>
    <w:p w14:paraId="027D3A36">
      <w:pPr>
        <w:pStyle w:val="10"/>
        <w:spacing w:after="0"/>
        <w:ind w:left="0" w:leftChars="0" w:right="-153"/>
        <w:jc w:val="center"/>
        <w:rPr>
          <w:rFonts w:eastAsia="黑体"/>
          <w:spacing w:val="2"/>
          <w:kern w:val="0"/>
          <w:sz w:val="21"/>
        </w:rPr>
      </w:pPr>
      <w:r>
        <w:rPr>
          <w:rFonts w:eastAsia="黑体"/>
          <w:spacing w:val="2"/>
          <w:kern w:val="0"/>
          <w:sz w:val="21"/>
        </w:rPr>
        <w:t>表</w:t>
      </w:r>
      <w:r>
        <w:rPr>
          <w:rFonts w:hint="eastAsia" w:eastAsia="黑体"/>
          <w:spacing w:val="2"/>
          <w:kern w:val="0"/>
          <w:sz w:val="21"/>
        </w:rPr>
        <w:t>2</w:t>
      </w:r>
      <w:r>
        <w:rPr>
          <w:rFonts w:eastAsia="黑体"/>
          <w:spacing w:val="2"/>
          <w:kern w:val="0"/>
          <w:sz w:val="21"/>
        </w:rPr>
        <w:t>有证标准物质一览表</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1"/>
        <w:gridCol w:w="2669"/>
        <w:gridCol w:w="2390"/>
      </w:tblGrid>
      <w:tr w14:paraId="4C2B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8" w:type="pct"/>
            <w:vAlign w:val="center"/>
          </w:tcPr>
          <w:p w14:paraId="192ED8D3">
            <w:pPr>
              <w:pStyle w:val="10"/>
              <w:spacing w:after="0" w:line="240" w:lineRule="auto"/>
              <w:ind w:left="0" w:leftChars="0"/>
              <w:jc w:val="center"/>
              <w:rPr>
                <w:spacing w:val="2"/>
                <w:kern w:val="0"/>
                <w:szCs w:val="24"/>
              </w:rPr>
            </w:pPr>
            <w:r>
              <w:rPr>
                <w:spacing w:val="2"/>
                <w:kern w:val="0"/>
                <w:szCs w:val="24"/>
              </w:rPr>
              <w:t>标准物质名称</w:t>
            </w:r>
          </w:p>
        </w:tc>
        <w:tc>
          <w:tcPr>
            <w:tcW w:w="1473" w:type="pct"/>
            <w:vAlign w:val="center"/>
          </w:tcPr>
          <w:p w14:paraId="14155FF5">
            <w:pPr>
              <w:pStyle w:val="10"/>
              <w:spacing w:after="0"/>
              <w:ind w:left="0" w:leftChars="0"/>
              <w:jc w:val="center"/>
              <w:rPr>
                <w:spacing w:val="2"/>
                <w:kern w:val="0"/>
                <w:szCs w:val="24"/>
              </w:rPr>
            </w:pPr>
            <w:r>
              <w:rPr>
                <w:spacing w:val="2"/>
                <w:kern w:val="0"/>
                <w:szCs w:val="24"/>
              </w:rPr>
              <w:t>量值范围</w:t>
            </w:r>
          </w:p>
        </w:tc>
        <w:tc>
          <w:tcPr>
            <w:tcW w:w="1319" w:type="pct"/>
            <w:vAlign w:val="center"/>
          </w:tcPr>
          <w:p w14:paraId="130EE9D0">
            <w:pPr>
              <w:pStyle w:val="10"/>
              <w:spacing w:after="0" w:line="240" w:lineRule="auto"/>
              <w:ind w:left="0" w:leftChars="0"/>
              <w:jc w:val="center"/>
              <w:rPr>
                <w:spacing w:val="2"/>
                <w:kern w:val="0"/>
                <w:szCs w:val="24"/>
              </w:rPr>
            </w:pPr>
            <w:r>
              <w:rPr>
                <w:spacing w:val="2"/>
                <w:kern w:val="0"/>
                <w:szCs w:val="24"/>
              </w:rPr>
              <w:t>相对扩展不确定度</w:t>
            </w:r>
          </w:p>
          <w:p w14:paraId="3E2C7FB1">
            <w:pPr>
              <w:pStyle w:val="10"/>
              <w:spacing w:after="0" w:line="240" w:lineRule="auto"/>
              <w:ind w:left="0" w:leftChars="0"/>
              <w:jc w:val="center"/>
              <w:rPr>
                <w:spacing w:val="2"/>
                <w:kern w:val="0"/>
                <w:szCs w:val="24"/>
              </w:rPr>
            </w:pPr>
            <w:r>
              <w:rPr>
                <w:i/>
                <w:spacing w:val="2"/>
                <w:kern w:val="0"/>
                <w:szCs w:val="24"/>
              </w:rPr>
              <w:t>k</w:t>
            </w:r>
            <w:r>
              <w:rPr>
                <w:spacing w:val="2"/>
                <w:kern w:val="0"/>
                <w:szCs w:val="24"/>
              </w:rPr>
              <w:t>=2</w:t>
            </w:r>
          </w:p>
        </w:tc>
      </w:tr>
      <w:tr w14:paraId="7F2A6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8" w:type="pct"/>
            <w:vAlign w:val="center"/>
          </w:tcPr>
          <w:p w14:paraId="3DC59D11">
            <w:pPr>
              <w:pStyle w:val="10"/>
              <w:spacing w:after="0" w:line="240" w:lineRule="auto"/>
              <w:ind w:left="0" w:leftChars="0"/>
              <w:jc w:val="center"/>
              <w:rPr>
                <w:spacing w:val="2"/>
                <w:kern w:val="0"/>
                <w:szCs w:val="24"/>
              </w:rPr>
            </w:pPr>
            <w:r>
              <w:rPr>
                <w:spacing w:val="2"/>
                <w:kern w:val="0"/>
                <w:szCs w:val="24"/>
              </w:rPr>
              <w:t>窄分布聚苯乙烯分子量标准物质</w:t>
            </w:r>
          </w:p>
        </w:tc>
        <w:tc>
          <w:tcPr>
            <w:tcW w:w="1473" w:type="pct"/>
            <w:vAlign w:val="center"/>
          </w:tcPr>
          <w:p w14:paraId="61277409">
            <w:pPr>
              <w:pStyle w:val="10"/>
              <w:spacing w:after="0" w:line="240" w:lineRule="auto"/>
              <w:ind w:left="0" w:leftChars="0"/>
              <w:jc w:val="center"/>
              <w:rPr>
                <w:spacing w:val="2"/>
                <w:kern w:val="0"/>
                <w:szCs w:val="24"/>
              </w:rPr>
            </w:pPr>
            <w:r>
              <w:rPr>
                <w:spacing w:val="2"/>
                <w:kern w:val="0"/>
                <w:szCs w:val="24"/>
              </w:rPr>
              <w:t>（2～10）×10</w:t>
            </w:r>
            <w:r>
              <w:rPr>
                <w:spacing w:val="2"/>
                <w:kern w:val="0"/>
                <w:szCs w:val="24"/>
                <w:vertAlign w:val="superscript"/>
              </w:rPr>
              <w:t>4</w:t>
            </w:r>
            <w:r>
              <w:rPr>
                <w:spacing w:val="2"/>
                <w:kern w:val="0"/>
                <w:szCs w:val="24"/>
              </w:rPr>
              <w:t xml:space="preserve"> g/mol</w:t>
            </w:r>
          </w:p>
        </w:tc>
        <w:tc>
          <w:tcPr>
            <w:tcW w:w="1319" w:type="pct"/>
            <w:vAlign w:val="center"/>
          </w:tcPr>
          <w:p w14:paraId="419B5576">
            <w:pPr>
              <w:pStyle w:val="10"/>
              <w:spacing w:after="0" w:line="240" w:lineRule="auto"/>
              <w:ind w:left="0" w:leftChars="0"/>
              <w:jc w:val="center"/>
              <w:rPr>
                <w:spacing w:val="2"/>
                <w:kern w:val="0"/>
                <w:szCs w:val="24"/>
              </w:rPr>
            </w:pPr>
            <w:r>
              <w:rPr>
                <w:spacing w:val="2"/>
                <w:kern w:val="0"/>
                <w:szCs w:val="24"/>
              </w:rPr>
              <w:t>≤10.0%</w:t>
            </w:r>
          </w:p>
        </w:tc>
      </w:tr>
      <w:tr w14:paraId="34A8D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8" w:type="pct"/>
            <w:vAlign w:val="center"/>
          </w:tcPr>
          <w:p w14:paraId="17F28444">
            <w:pPr>
              <w:pStyle w:val="10"/>
              <w:spacing w:after="0" w:line="240" w:lineRule="auto"/>
              <w:ind w:left="0" w:leftChars="0"/>
              <w:jc w:val="center"/>
              <w:rPr>
                <w:spacing w:val="2"/>
                <w:kern w:val="0"/>
                <w:szCs w:val="24"/>
              </w:rPr>
            </w:pPr>
            <w:r>
              <w:rPr>
                <w:spacing w:val="2"/>
                <w:kern w:val="0"/>
                <w:szCs w:val="24"/>
              </w:rPr>
              <w:t>牛血清白蛋白分子量标准物质</w:t>
            </w:r>
          </w:p>
        </w:tc>
        <w:tc>
          <w:tcPr>
            <w:tcW w:w="1473" w:type="pct"/>
            <w:vAlign w:val="center"/>
          </w:tcPr>
          <w:p w14:paraId="4DC8EAC3">
            <w:pPr>
              <w:pStyle w:val="10"/>
              <w:spacing w:after="0" w:line="240" w:lineRule="auto"/>
              <w:ind w:left="0" w:leftChars="0"/>
              <w:jc w:val="center"/>
              <w:rPr>
                <w:spacing w:val="2"/>
                <w:kern w:val="0"/>
                <w:szCs w:val="24"/>
              </w:rPr>
            </w:pPr>
            <w:r>
              <w:rPr>
                <w:spacing w:val="2"/>
                <w:kern w:val="0"/>
                <w:szCs w:val="24"/>
              </w:rPr>
              <w:t>66446 g/mol</w:t>
            </w:r>
          </w:p>
        </w:tc>
        <w:tc>
          <w:tcPr>
            <w:tcW w:w="1319" w:type="pct"/>
            <w:vAlign w:val="center"/>
          </w:tcPr>
          <w:p w14:paraId="2FE30E50">
            <w:pPr>
              <w:pStyle w:val="10"/>
              <w:spacing w:after="0" w:line="240" w:lineRule="auto"/>
              <w:ind w:left="0" w:leftChars="0"/>
              <w:jc w:val="center"/>
              <w:rPr>
                <w:spacing w:val="2"/>
                <w:kern w:val="0"/>
                <w:szCs w:val="24"/>
              </w:rPr>
            </w:pPr>
            <w:r>
              <w:rPr>
                <w:spacing w:val="2"/>
                <w:kern w:val="0"/>
                <w:szCs w:val="24"/>
              </w:rPr>
              <w:t>32</w:t>
            </w:r>
          </w:p>
        </w:tc>
      </w:tr>
      <w:tr w14:paraId="2D8D3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8" w:type="pct"/>
            <w:vAlign w:val="center"/>
          </w:tcPr>
          <w:p w14:paraId="18C22D0F">
            <w:pPr>
              <w:pStyle w:val="10"/>
              <w:spacing w:after="0"/>
              <w:ind w:left="480"/>
              <w:rPr>
                <w:spacing w:val="2"/>
                <w:kern w:val="0"/>
                <w:szCs w:val="24"/>
              </w:rPr>
            </w:pPr>
            <w:r>
              <w:rPr>
                <w:spacing w:val="2"/>
                <w:kern w:val="0"/>
                <w:szCs w:val="24"/>
              </w:rPr>
              <w:t>微粒粒度标准物质（颗粒）</w:t>
            </w:r>
          </w:p>
        </w:tc>
        <w:tc>
          <w:tcPr>
            <w:tcW w:w="1473" w:type="pct"/>
            <w:vAlign w:val="center"/>
          </w:tcPr>
          <w:p w14:paraId="6C475EF4">
            <w:pPr>
              <w:pStyle w:val="10"/>
              <w:spacing w:after="0"/>
              <w:ind w:left="0" w:leftChars="0"/>
              <w:jc w:val="center"/>
              <w:rPr>
                <w:spacing w:val="2"/>
                <w:kern w:val="0"/>
                <w:szCs w:val="24"/>
              </w:rPr>
            </w:pPr>
            <w:r>
              <w:rPr>
                <w:spacing w:val="2"/>
                <w:kern w:val="0"/>
                <w:szCs w:val="24"/>
              </w:rPr>
              <w:t>(50~1000) nm</w:t>
            </w:r>
          </w:p>
        </w:tc>
        <w:tc>
          <w:tcPr>
            <w:tcW w:w="1319" w:type="pct"/>
            <w:vAlign w:val="center"/>
          </w:tcPr>
          <w:p w14:paraId="0912B3ED">
            <w:pPr>
              <w:pStyle w:val="10"/>
              <w:spacing w:after="0"/>
              <w:ind w:left="0" w:leftChars="0"/>
              <w:jc w:val="center"/>
              <w:rPr>
                <w:spacing w:val="2"/>
                <w:kern w:val="0"/>
                <w:szCs w:val="24"/>
              </w:rPr>
            </w:pPr>
            <w:r>
              <w:rPr>
                <w:spacing w:val="2"/>
                <w:kern w:val="0"/>
                <w:szCs w:val="24"/>
              </w:rPr>
              <w:t>≤5.0%</w:t>
            </w:r>
          </w:p>
        </w:tc>
      </w:tr>
    </w:tbl>
    <w:p w14:paraId="6460E399">
      <w:pPr>
        <w:pStyle w:val="2"/>
        <w:spacing w:line="360" w:lineRule="auto"/>
        <w:rPr>
          <w:rFonts w:ascii="黑体" w:hAnsi="黑体" w:eastAsia="黑体"/>
          <w:sz w:val="24"/>
          <w:szCs w:val="24"/>
        </w:rPr>
      </w:pPr>
      <w:bookmarkStart w:id="21" w:name="_Toc208913160"/>
      <w:r>
        <w:rPr>
          <w:rFonts w:hint="eastAsia" w:ascii="黑体" w:hAnsi="黑体" w:eastAsia="黑体"/>
          <w:sz w:val="24"/>
          <w:szCs w:val="24"/>
        </w:rPr>
        <w:t>6</w:t>
      </w:r>
      <w:r>
        <w:rPr>
          <w:rFonts w:ascii="黑体" w:hAnsi="黑体" w:eastAsia="黑体"/>
          <w:sz w:val="24"/>
          <w:szCs w:val="24"/>
        </w:rPr>
        <w:t xml:space="preserve"> </w:t>
      </w:r>
      <w:r>
        <w:rPr>
          <w:rFonts w:hint="eastAsia" w:ascii="黑体" w:hAnsi="黑体" w:eastAsia="黑体"/>
          <w:sz w:val="24"/>
          <w:szCs w:val="24"/>
        </w:rPr>
        <w:t>校准项目和校准方法</w:t>
      </w:r>
      <w:bookmarkEnd w:id="20"/>
      <w:bookmarkEnd w:id="21"/>
      <w:bookmarkStart w:id="22" w:name="_Ref239303163"/>
      <w:bookmarkStart w:id="23" w:name="_Toc239325851"/>
    </w:p>
    <w:p w14:paraId="740848C2">
      <w:pPr>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校准前应确保被校仪器处于正常的工作状态及没有影响校准计量性能的因素。所用的标准物质应确保处于干净环境，避免灰尘或其他污染物附着。</w:t>
      </w:r>
    </w:p>
    <w:p w14:paraId="26EC6096">
      <w:pPr>
        <w:pStyle w:val="2"/>
        <w:spacing w:line="360" w:lineRule="auto"/>
        <w:rPr>
          <w:rFonts w:ascii="黑体" w:hAnsi="黑体" w:eastAsia="黑体"/>
          <w:sz w:val="24"/>
          <w:szCs w:val="24"/>
        </w:rPr>
      </w:pPr>
      <w:bookmarkStart w:id="24" w:name="_Toc208913161"/>
      <w:r>
        <w:rPr>
          <w:rFonts w:hint="eastAsia" w:ascii="黑体" w:hAnsi="黑体" w:eastAsia="黑体"/>
          <w:sz w:val="24"/>
          <w:szCs w:val="24"/>
        </w:rPr>
        <w:t>6</w:t>
      </w:r>
      <w:r>
        <w:rPr>
          <w:rFonts w:ascii="黑体" w:hAnsi="黑体" w:eastAsia="黑体"/>
          <w:sz w:val="24"/>
          <w:szCs w:val="24"/>
        </w:rPr>
        <w:t>.</w:t>
      </w:r>
      <w:r>
        <w:rPr>
          <w:rFonts w:hint="eastAsia" w:ascii="黑体" w:hAnsi="黑体" w:eastAsia="黑体"/>
          <w:sz w:val="24"/>
          <w:szCs w:val="24"/>
        </w:rPr>
        <w:t>1</w:t>
      </w:r>
      <w:r>
        <w:rPr>
          <w:rFonts w:ascii="黑体" w:hAnsi="黑体" w:eastAsia="黑体"/>
          <w:sz w:val="24"/>
          <w:szCs w:val="24"/>
        </w:rPr>
        <w:t xml:space="preserve"> </w:t>
      </w:r>
      <w:r>
        <w:rPr>
          <w:rFonts w:hint="eastAsia" w:ascii="黑体" w:hAnsi="黑体" w:eastAsia="黑体"/>
          <w:sz w:val="24"/>
          <w:szCs w:val="24"/>
        </w:rPr>
        <w:t>泵流量稳定性</w:t>
      </w:r>
      <w:bookmarkEnd w:id="24"/>
    </w:p>
    <w:p w14:paraId="2157A199">
      <w:pPr>
        <w:ind w:firstLine="480" w:firstLineChars="200"/>
        <w:rPr>
          <w:szCs w:val="24"/>
        </w:rPr>
      </w:pPr>
      <w:r>
        <w:rPr>
          <w:szCs w:val="24"/>
        </w:rPr>
        <w:t>泵流量设定为0.5 mL/min,启动仪器,压力稳定后,在流动相出口处用事先称重过的洁净容量瓶收集流动相</w:t>
      </w:r>
      <w:r>
        <w:rPr>
          <w:rFonts w:hint="eastAsia"/>
          <w:szCs w:val="24"/>
        </w:rPr>
        <w:t>，</w:t>
      </w:r>
      <w:r>
        <w:rPr>
          <w:szCs w:val="24"/>
        </w:rPr>
        <w:t>洁净容量瓶质量为m</w:t>
      </w:r>
      <w:r>
        <w:rPr>
          <w:szCs w:val="24"/>
          <w:vertAlign w:val="subscript"/>
        </w:rPr>
        <w:t>1</w:t>
      </w:r>
      <w:r>
        <w:rPr>
          <w:szCs w:val="24"/>
        </w:rPr>
        <w:t>。同时用秒表计时</w:t>
      </w:r>
      <w:r>
        <w:rPr>
          <w:rFonts w:hint="eastAsia"/>
          <w:szCs w:val="24"/>
        </w:rPr>
        <w:t>，</w:t>
      </w:r>
      <w:r>
        <w:rPr>
          <w:szCs w:val="24"/>
        </w:rPr>
        <w:t>收集(5~10)</w:t>
      </w:r>
      <w:r>
        <w:rPr>
          <w:rFonts w:hint="eastAsia"/>
          <w:szCs w:val="24"/>
        </w:rPr>
        <w:t xml:space="preserve"> </w:t>
      </w:r>
      <w:r>
        <w:rPr>
          <w:szCs w:val="24"/>
        </w:rPr>
        <w:t>min流出的流动相</w:t>
      </w:r>
      <w:r>
        <w:rPr>
          <w:rFonts w:hint="eastAsia"/>
          <w:szCs w:val="24"/>
        </w:rPr>
        <w:t>，</w:t>
      </w:r>
      <w:r>
        <w:rPr>
          <w:szCs w:val="24"/>
        </w:rPr>
        <w:t>在分析天平上称重</w:t>
      </w:r>
      <w:r>
        <w:rPr>
          <w:rFonts w:hint="eastAsia"/>
          <w:szCs w:val="24"/>
        </w:rPr>
        <w:t>，</w:t>
      </w:r>
      <w:r>
        <w:rPr>
          <w:szCs w:val="24"/>
        </w:rPr>
        <w:t>记录质量为m</w:t>
      </w:r>
      <w:r>
        <w:rPr>
          <w:szCs w:val="24"/>
          <w:vertAlign w:val="subscript"/>
        </w:rPr>
        <w:t>2</w:t>
      </w:r>
      <w:r>
        <w:rPr>
          <w:rFonts w:hint="eastAsia"/>
          <w:szCs w:val="24"/>
        </w:rPr>
        <w:t>。</w:t>
      </w:r>
      <w:bookmarkStart w:id="25" w:name="_Hlk208930746"/>
      <w:r>
        <w:rPr>
          <w:szCs w:val="24"/>
        </w:rPr>
        <w:t>重复测量3次</w:t>
      </w:r>
      <w:r>
        <w:rPr>
          <w:rFonts w:hint="eastAsia"/>
          <w:szCs w:val="24"/>
        </w:rPr>
        <w:t>，</w:t>
      </w:r>
      <w:r>
        <w:rPr>
          <w:szCs w:val="24"/>
        </w:rPr>
        <w:t>用公式(1)计算每一次泵流量。然后用公式(2)计算泵流量稳定性。</w:t>
      </w:r>
    </w:p>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2"/>
        <w:gridCol w:w="1042"/>
      </w:tblGrid>
      <w:tr w14:paraId="7BD5D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92" w:type="dxa"/>
          </w:tcPr>
          <w:p w14:paraId="40B54039">
            <m:oMathPara>
              <m:oMath>
                <m:r>
                  <m:rPr/>
                  <w:rPr>
                    <w:rFonts w:ascii="Cambria Math" w:hAnsi="Cambria Math"/>
                  </w:rPr>
                  <m:t>v=</m:t>
                </m:r>
                <m:f>
                  <m:fPr>
                    <m:ctrlPr>
                      <w:rPr>
                        <w:rFonts w:ascii="Cambria Math" w:hAnsi="Cambria Math"/>
                        <w:i/>
                      </w:rPr>
                    </m:ctrlPr>
                  </m:fPr>
                  <m:num>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num>
                  <m:den>
                    <m:r>
                      <m:rPr/>
                      <w:rPr>
                        <w:rFonts w:ascii="Cambria Math" w:hAnsi="Cambria Math"/>
                      </w:rPr>
                      <m:t>t</m:t>
                    </m:r>
                    <m:ctrlPr>
                      <w:rPr>
                        <w:rFonts w:ascii="Cambria Math" w:hAnsi="Cambria Math"/>
                        <w:i/>
                      </w:rPr>
                    </m:ctrlPr>
                  </m:den>
                </m:f>
              </m:oMath>
            </m:oMathPara>
          </w:p>
        </w:tc>
        <w:tc>
          <w:tcPr>
            <w:tcW w:w="1042" w:type="dxa"/>
          </w:tcPr>
          <w:p w14:paraId="046D9ABC">
            <w:pPr>
              <w:jc w:val="right"/>
            </w:pPr>
            <w:r>
              <w:t>(1)</w:t>
            </w:r>
          </w:p>
        </w:tc>
      </w:tr>
    </w:tbl>
    <w:p w14:paraId="4EC7E297">
      <w:pPr>
        <w:rPr>
          <w:szCs w:val="24"/>
        </w:rPr>
      </w:pPr>
      <w:r>
        <w:rPr>
          <w:szCs w:val="24"/>
        </w:rPr>
        <w:t>式中：</w:t>
      </w:r>
    </w:p>
    <w:p w14:paraId="28D3C9EB">
      <w:pPr>
        <w:rPr>
          <w:szCs w:val="24"/>
        </w:rPr>
      </w:pPr>
      <m:oMath>
        <m:r>
          <m:rPr/>
          <w:rPr>
            <w:rFonts w:ascii="Cambria Math" w:hAnsi="Cambria Math"/>
            <w:szCs w:val="24"/>
          </w:rPr>
          <m:t>v</m:t>
        </m:r>
      </m:oMath>
      <w:r>
        <w:rPr>
          <w:szCs w:val="24"/>
        </w:rPr>
        <w:tab/>
      </w:r>
      <w:r>
        <w:rPr>
          <w:szCs w:val="24"/>
        </w:rPr>
        <w:t>——泵质量流量，g/min；</w:t>
      </w:r>
    </w:p>
    <w:p w14:paraId="20B2EF97">
      <w:pPr>
        <w:rPr>
          <w:szCs w:val="24"/>
        </w:rPr>
      </w:pPr>
      <m:oMath>
        <m:sSub>
          <m:sSubPr>
            <m:ctrlPr>
              <w:rPr>
                <w:rFonts w:ascii="Cambria Math" w:hAnsi="Cambria Math"/>
                <w:i/>
                <w:szCs w:val="24"/>
              </w:rPr>
            </m:ctrlPr>
          </m:sSubPr>
          <m:e>
            <m:r>
              <m:rPr/>
              <w:rPr>
                <w:rFonts w:ascii="Cambria Math" w:hAnsi="Cambria Math"/>
                <w:szCs w:val="24"/>
              </w:rPr>
              <m:t>m</m:t>
            </m:r>
            <m:ctrlPr>
              <w:rPr>
                <w:rFonts w:ascii="Cambria Math" w:hAnsi="Cambria Math"/>
                <w:i/>
                <w:szCs w:val="24"/>
              </w:rPr>
            </m:ctrlPr>
          </m:e>
          <m:sub>
            <m:r>
              <m:rPr/>
              <w:rPr>
                <w:rFonts w:ascii="Cambria Math" w:hAnsi="Cambria Math"/>
                <w:szCs w:val="24"/>
              </w:rPr>
              <m:t>1</m:t>
            </m:r>
            <m:ctrlPr>
              <w:rPr>
                <w:rFonts w:ascii="Cambria Math" w:hAnsi="Cambria Math"/>
                <w:i/>
                <w:szCs w:val="24"/>
              </w:rPr>
            </m:ctrlPr>
          </m:sub>
        </m:sSub>
      </m:oMath>
      <w:r>
        <w:rPr>
          <w:szCs w:val="24"/>
        </w:rPr>
        <w:tab/>
      </w:r>
      <w:r>
        <w:rPr>
          <w:szCs w:val="24"/>
        </w:rPr>
        <w:t>——洁净容量瓶质量，g；</w:t>
      </w:r>
    </w:p>
    <w:p w14:paraId="5FD50E1B">
      <w:pPr>
        <w:rPr>
          <w:szCs w:val="24"/>
        </w:rPr>
      </w:pPr>
      <m:oMath>
        <m:sSub>
          <m:sSubPr>
            <m:ctrlPr>
              <w:rPr>
                <w:rFonts w:ascii="Cambria Math" w:hAnsi="Cambria Math"/>
                <w:i/>
                <w:szCs w:val="24"/>
              </w:rPr>
            </m:ctrlPr>
          </m:sSubPr>
          <m:e>
            <m:r>
              <m:rPr/>
              <w:rPr>
                <w:rFonts w:ascii="Cambria Math" w:hAnsi="Cambria Math"/>
                <w:szCs w:val="24"/>
              </w:rPr>
              <m:t>m</m:t>
            </m:r>
            <m:ctrlPr>
              <w:rPr>
                <w:rFonts w:ascii="Cambria Math" w:hAnsi="Cambria Math"/>
                <w:i/>
                <w:szCs w:val="24"/>
              </w:rPr>
            </m:ctrlPr>
          </m:e>
          <m:sub>
            <m:r>
              <m:rPr/>
              <w:rPr>
                <w:rFonts w:ascii="Cambria Math" w:hAnsi="Cambria Math"/>
                <w:szCs w:val="24"/>
              </w:rPr>
              <m:t>2</m:t>
            </m:r>
            <m:ctrlPr>
              <w:rPr>
                <w:rFonts w:ascii="Cambria Math" w:hAnsi="Cambria Math"/>
                <w:i/>
                <w:szCs w:val="24"/>
              </w:rPr>
            </m:ctrlPr>
          </m:sub>
        </m:sSub>
      </m:oMath>
      <w:r>
        <w:rPr>
          <w:szCs w:val="24"/>
        </w:rPr>
        <w:tab/>
      </w:r>
      <w:r>
        <w:rPr>
          <w:szCs w:val="24"/>
        </w:rPr>
        <w:t>——采集流动相后容量瓶质量，g；</w:t>
      </w:r>
    </w:p>
    <w:p w14:paraId="243AAAE4">
      <w:pPr>
        <w:rPr>
          <w:szCs w:val="24"/>
        </w:rPr>
      </w:pPr>
      <m:oMath>
        <m:r>
          <m:rPr/>
          <w:rPr>
            <w:rFonts w:ascii="Cambria Math" w:hAnsi="Cambria Math"/>
            <w:szCs w:val="24"/>
          </w:rPr>
          <m:t>t</m:t>
        </m:r>
      </m:oMath>
      <w:r>
        <w:rPr>
          <w:szCs w:val="24"/>
        </w:rPr>
        <w:tab/>
      </w:r>
      <w:r>
        <w:rPr>
          <w:szCs w:val="24"/>
        </w:rPr>
        <w:t>——流动相采集时间，min。</w:t>
      </w:r>
    </w:p>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2"/>
        <w:gridCol w:w="1042"/>
      </w:tblGrid>
      <w:tr w14:paraId="74C02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92" w:type="dxa"/>
          </w:tcPr>
          <w:p w14:paraId="35C12C58">
            <w:pPr>
              <w:rPr>
                <w:szCs w:val="24"/>
              </w:rPr>
            </w:pPr>
            <m:oMathPara>
              <m:oMath>
                <m:sSub>
                  <m:sSubPr>
                    <m:ctrlPr>
                      <w:rPr>
                        <w:rFonts w:ascii="Cambria Math" w:hAnsi="Cambria Math"/>
                        <w:i/>
                        <w:szCs w:val="24"/>
                      </w:rPr>
                    </m:ctrlPr>
                  </m:sSubPr>
                  <m:e>
                    <m:r>
                      <m:rPr/>
                      <w:rPr>
                        <w:rFonts w:ascii="Cambria Math" w:hAnsi="Cambria Math"/>
                        <w:szCs w:val="24"/>
                      </w:rPr>
                      <m:t>S</m:t>
                    </m:r>
                    <m:ctrlPr>
                      <w:rPr>
                        <w:rFonts w:ascii="Cambria Math" w:hAnsi="Cambria Math"/>
                        <w:i/>
                        <w:szCs w:val="24"/>
                      </w:rPr>
                    </m:ctrlPr>
                  </m:e>
                  <m:sub>
                    <m:r>
                      <m:rPr/>
                      <w:rPr>
                        <w:rFonts w:ascii="Cambria Math" w:hAnsi="Cambria Math"/>
                        <w:szCs w:val="24"/>
                      </w:rPr>
                      <m:t>v</m:t>
                    </m:r>
                    <m:ctrlPr>
                      <w:rPr>
                        <w:rFonts w:ascii="Cambria Math" w:hAnsi="Cambria Math"/>
                        <w:i/>
                        <w:szCs w:val="24"/>
                      </w:rPr>
                    </m:ctrlPr>
                  </m:sub>
                </m:sSub>
                <m:r>
                  <m:rPr/>
                  <w:rPr>
                    <w:rFonts w:ascii="Cambria Math" w:hAnsi="Cambria Math"/>
                    <w:szCs w:val="24"/>
                  </w:rPr>
                  <m:t>=</m:t>
                </m:r>
                <m:f>
                  <m:fPr>
                    <m:ctrlPr>
                      <w:rPr>
                        <w:rFonts w:ascii="Cambria Math" w:hAnsi="Cambria Math"/>
                        <w:i/>
                        <w:szCs w:val="24"/>
                      </w:rPr>
                    </m:ctrlPr>
                  </m:fPr>
                  <m:num>
                    <m:sSub>
                      <m:sSubPr>
                        <m:ctrlPr>
                          <w:rPr>
                            <w:rFonts w:ascii="Cambria Math" w:hAnsi="Cambria Math"/>
                            <w:i/>
                            <w:szCs w:val="24"/>
                          </w:rPr>
                        </m:ctrlPr>
                      </m:sSubPr>
                      <m:e>
                        <m:r>
                          <m:rPr/>
                          <w:rPr>
                            <w:rFonts w:ascii="Cambria Math" w:hAnsi="Cambria Math"/>
                            <w:szCs w:val="24"/>
                          </w:rPr>
                          <m:t>v</m:t>
                        </m:r>
                        <m:ctrlPr>
                          <w:rPr>
                            <w:rFonts w:ascii="Cambria Math" w:hAnsi="Cambria Math"/>
                            <w:i/>
                            <w:szCs w:val="24"/>
                          </w:rPr>
                        </m:ctrlPr>
                      </m:e>
                      <m:sub>
                        <m:r>
                          <m:rPr/>
                          <w:rPr>
                            <w:rFonts w:ascii="Cambria Math" w:hAnsi="Cambria Math"/>
                            <w:szCs w:val="24"/>
                          </w:rPr>
                          <m:t>max</m:t>
                        </m:r>
                        <m:ctrlPr>
                          <w:rPr>
                            <w:rFonts w:ascii="Cambria Math" w:hAnsi="Cambria Math"/>
                            <w:i/>
                            <w:szCs w:val="24"/>
                          </w:rPr>
                        </m:ctrlPr>
                      </m:sub>
                    </m:sSub>
                    <m:r>
                      <m:rPr/>
                      <w:rPr>
                        <w:rFonts w:ascii="Cambria Math" w:hAnsi="Cambria Math"/>
                        <w:szCs w:val="24"/>
                      </w:rPr>
                      <m:t>−</m:t>
                    </m:r>
                    <m:sSub>
                      <m:sSubPr>
                        <m:ctrlPr>
                          <w:rPr>
                            <w:rFonts w:ascii="Cambria Math" w:hAnsi="Cambria Math"/>
                            <w:i/>
                            <w:szCs w:val="24"/>
                          </w:rPr>
                        </m:ctrlPr>
                      </m:sSubPr>
                      <m:e>
                        <m:r>
                          <m:rPr/>
                          <w:rPr>
                            <w:rFonts w:ascii="Cambria Math" w:hAnsi="Cambria Math"/>
                            <w:szCs w:val="24"/>
                          </w:rPr>
                          <m:t>v</m:t>
                        </m:r>
                        <m:ctrlPr>
                          <w:rPr>
                            <w:rFonts w:ascii="Cambria Math" w:hAnsi="Cambria Math"/>
                            <w:i/>
                            <w:szCs w:val="24"/>
                          </w:rPr>
                        </m:ctrlPr>
                      </m:e>
                      <m:sub>
                        <m:r>
                          <m:rPr/>
                          <w:rPr>
                            <w:rFonts w:ascii="Cambria Math" w:hAnsi="Cambria Math"/>
                            <w:szCs w:val="24"/>
                          </w:rPr>
                          <m:t>min</m:t>
                        </m:r>
                        <m:ctrlPr>
                          <w:rPr>
                            <w:rFonts w:ascii="Cambria Math" w:hAnsi="Cambria Math"/>
                            <w:i/>
                            <w:szCs w:val="24"/>
                          </w:rPr>
                        </m:ctrlPr>
                      </m:sub>
                    </m:sSub>
                    <m:ctrlPr>
                      <w:rPr>
                        <w:rFonts w:ascii="Cambria Math" w:hAnsi="Cambria Math"/>
                        <w:i/>
                        <w:szCs w:val="24"/>
                      </w:rPr>
                    </m:ctrlPr>
                  </m:num>
                  <m:den>
                    <m:acc>
                      <m:accPr>
                        <m:chr m:val="̅"/>
                        <m:ctrlPr>
                          <w:rPr>
                            <w:rFonts w:ascii="Cambria Math" w:hAnsi="Cambria Math"/>
                            <w:i/>
                            <w:szCs w:val="24"/>
                          </w:rPr>
                        </m:ctrlPr>
                      </m:accPr>
                      <m:e>
                        <m:r>
                          <m:rPr/>
                          <w:rPr>
                            <w:rFonts w:ascii="Cambria Math" w:hAnsi="Cambria Math"/>
                            <w:szCs w:val="24"/>
                          </w:rPr>
                          <m:t>v</m:t>
                        </m:r>
                        <m:ctrlPr>
                          <w:rPr>
                            <w:rFonts w:ascii="Cambria Math" w:hAnsi="Cambria Math"/>
                            <w:i/>
                            <w:szCs w:val="24"/>
                          </w:rPr>
                        </m:ctrlPr>
                      </m:e>
                    </m:acc>
                    <m:ctrlPr>
                      <w:rPr>
                        <w:rFonts w:ascii="Cambria Math" w:hAnsi="Cambria Math"/>
                        <w:i/>
                        <w:szCs w:val="24"/>
                      </w:rPr>
                    </m:ctrlPr>
                  </m:den>
                </m:f>
                <m:r>
                  <m:rPr/>
                  <w:rPr>
                    <w:rFonts w:ascii="Cambria Math" w:hAnsi="Cambria Math"/>
                    <w:szCs w:val="24"/>
                  </w:rPr>
                  <m:t>×100%</m:t>
                </m:r>
              </m:oMath>
            </m:oMathPara>
          </w:p>
        </w:tc>
        <w:tc>
          <w:tcPr>
            <w:tcW w:w="1042" w:type="dxa"/>
          </w:tcPr>
          <w:p w14:paraId="4ECEF5FF">
            <w:pPr>
              <w:jc w:val="right"/>
            </w:pPr>
            <w:r>
              <w:t>(2)</w:t>
            </w:r>
          </w:p>
        </w:tc>
      </w:tr>
    </w:tbl>
    <w:p w14:paraId="0E8D3C1F">
      <w:pPr>
        <w:rPr>
          <w:szCs w:val="24"/>
        </w:rPr>
      </w:pPr>
      <w:r>
        <w:rPr>
          <w:szCs w:val="24"/>
        </w:rPr>
        <w:t>式中：</w:t>
      </w:r>
    </w:p>
    <w:p w14:paraId="60A29AB7">
      <w:pPr>
        <w:rPr>
          <w:szCs w:val="24"/>
        </w:rPr>
      </w:pPr>
      <m:oMath>
        <m:sSub>
          <m:sSubPr>
            <m:ctrlPr>
              <w:rPr>
                <w:rFonts w:ascii="Cambria Math" w:hAnsi="Cambria Math"/>
                <w:i/>
                <w:szCs w:val="24"/>
              </w:rPr>
            </m:ctrlPr>
          </m:sSubPr>
          <m:e>
            <m:r>
              <m:rPr/>
              <w:rPr>
                <w:rFonts w:ascii="Cambria Math" w:hAnsi="Cambria Math"/>
                <w:szCs w:val="24"/>
              </w:rPr>
              <m:t>S</m:t>
            </m:r>
            <m:ctrlPr>
              <w:rPr>
                <w:rFonts w:ascii="Cambria Math" w:hAnsi="Cambria Math"/>
                <w:i/>
                <w:szCs w:val="24"/>
              </w:rPr>
            </m:ctrlPr>
          </m:e>
          <m:sub>
            <m:r>
              <m:rPr/>
              <w:rPr>
                <w:rFonts w:ascii="Cambria Math" w:hAnsi="Cambria Math"/>
                <w:szCs w:val="24"/>
              </w:rPr>
              <m:t>v</m:t>
            </m:r>
            <m:ctrlPr>
              <w:rPr>
                <w:rFonts w:ascii="Cambria Math" w:hAnsi="Cambria Math"/>
                <w:i/>
                <w:szCs w:val="24"/>
              </w:rPr>
            </m:ctrlPr>
          </m:sub>
        </m:sSub>
      </m:oMath>
      <w:r>
        <w:rPr>
          <w:szCs w:val="24"/>
        </w:rPr>
        <w:tab/>
      </w:r>
      <w:r>
        <w:rPr>
          <w:szCs w:val="24"/>
        </w:rPr>
        <w:t>——泵流量稳定性；</w:t>
      </w:r>
    </w:p>
    <w:p w14:paraId="500D9DCF">
      <w:pPr>
        <w:rPr>
          <w:szCs w:val="24"/>
        </w:rPr>
      </w:pPr>
      <m:oMath>
        <m:sSub>
          <m:sSubPr>
            <m:ctrlPr>
              <w:rPr>
                <w:rFonts w:ascii="Cambria Math" w:hAnsi="Cambria Math"/>
                <w:i/>
                <w:szCs w:val="24"/>
              </w:rPr>
            </m:ctrlPr>
          </m:sSubPr>
          <m:e>
            <m:r>
              <m:rPr/>
              <w:rPr>
                <w:rFonts w:ascii="Cambria Math" w:hAnsi="Cambria Math"/>
                <w:szCs w:val="24"/>
              </w:rPr>
              <m:t>v</m:t>
            </m:r>
            <m:ctrlPr>
              <w:rPr>
                <w:rFonts w:ascii="Cambria Math" w:hAnsi="Cambria Math"/>
                <w:i/>
                <w:szCs w:val="24"/>
              </w:rPr>
            </m:ctrlPr>
          </m:e>
          <m:sub>
            <m:r>
              <m:rPr/>
              <w:rPr>
                <w:rFonts w:ascii="Cambria Math" w:hAnsi="Cambria Math"/>
                <w:szCs w:val="24"/>
              </w:rPr>
              <m:t>max</m:t>
            </m:r>
            <m:ctrlPr>
              <w:rPr>
                <w:rFonts w:ascii="Cambria Math" w:hAnsi="Cambria Math"/>
                <w:i/>
                <w:szCs w:val="24"/>
              </w:rPr>
            </m:ctrlPr>
          </m:sub>
        </m:sSub>
      </m:oMath>
      <w:r>
        <w:rPr>
          <w:szCs w:val="24"/>
        </w:rPr>
        <w:t>——最大泵流量，g/min；</w:t>
      </w:r>
    </w:p>
    <w:p w14:paraId="5448B3BC">
      <w:pPr>
        <w:rPr>
          <w:szCs w:val="24"/>
        </w:rPr>
      </w:pPr>
      <m:oMath>
        <m:sSub>
          <m:sSubPr>
            <m:ctrlPr>
              <w:rPr>
                <w:rFonts w:ascii="Cambria Math" w:hAnsi="Cambria Math"/>
                <w:i/>
                <w:szCs w:val="24"/>
              </w:rPr>
            </m:ctrlPr>
          </m:sSubPr>
          <m:e>
            <m:r>
              <m:rPr/>
              <w:rPr>
                <w:rFonts w:ascii="Cambria Math" w:hAnsi="Cambria Math"/>
                <w:szCs w:val="24"/>
              </w:rPr>
              <m:t>v</m:t>
            </m:r>
            <m:ctrlPr>
              <w:rPr>
                <w:rFonts w:ascii="Cambria Math" w:hAnsi="Cambria Math"/>
                <w:i/>
                <w:szCs w:val="24"/>
              </w:rPr>
            </m:ctrlPr>
          </m:e>
          <m:sub>
            <m:r>
              <m:rPr/>
              <w:rPr>
                <w:rFonts w:ascii="Cambria Math" w:hAnsi="Cambria Math"/>
                <w:szCs w:val="24"/>
              </w:rPr>
              <m:t>min</m:t>
            </m:r>
            <m:ctrlPr>
              <w:rPr>
                <w:rFonts w:ascii="Cambria Math" w:hAnsi="Cambria Math"/>
                <w:i/>
                <w:szCs w:val="24"/>
              </w:rPr>
            </m:ctrlPr>
          </m:sub>
        </m:sSub>
      </m:oMath>
      <w:r>
        <w:rPr>
          <w:szCs w:val="24"/>
        </w:rPr>
        <w:t>——最小泵流量，g/min；</w:t>
      </w:r>
    </w:p>
    <w:p w14:paraId="6BC12F19">
      <w:pPr>
        <w:rPr>
          <w:szCs w:val="24"/>
        </w:rPr>
      </w:pPr>
      <m:oMath>
        <m:acc>
          <m:accPr>
            <m:chr m:val="̅"/>
            <m:ctrlPr>
              <w:rPr>
                <w:rFonts w:ascii="Cambria Math" w:hAnsi="Cambria Math"/>
                <w:i/>
                <w:szCs w:val="24"/>
              </w:rPr>
            </m:ctrlPr>
          </m:accPr>
          <m:e>
            <m:r>
              <m:rPr/>
              <w:rPr>
                <w:rFonts w:ascii="Cambria Math" w:hAnsi="Cambria Math"/>
                <w:szCs w:val="24"/>
              </w:rPr>
              <m:t>v</m:t>
            </m:r>
            <m:ctrlPr>
              <w:rPr>
                <w:rFonts w:ascii="Cambria Math" w:hAnsi="Cambria Math"/>
                <w:i/>
                <w:szCs w:val="24"/>
              </w:rPr>
            </m:ctrlPr>
          </m:e>
        </m:acc>
      </m:oMath>
      <w:r>
        <w:rPr>
          <w:szCs w:val="24"/>
        </w:rPr>
        <w:tab/>
      </w:r>
      <w:r>
        <w:rPr>
          <w:szCs w:val="24"/>
        </w:rPr>
        <w:t>——泵流量3次测量的算术平均值，g/min</w:t>
      </w:r>
    </w:p>
    <w:bookmarkEnd w:id="25"/>
    <w:p w14:paraId="706332DA">
      <w:pPr>
        <w:pStyle w:val="2"/>
        <w:spacing w:line="360" w:lineRule="auto"/>
        <w:rPr>
          <w:rFonts w:ascii="黑体" w:hAnsi="黑体" w:eastAsia="黑体"/>
          <w:sz w:val="24"/>
          <w:szCs w:val="24"/>
        </w:rPr>
      </w:pPr>
      <w:bookmarkStart w:id="26" w:name="_Toc208913162"/>
      <w:r>
        <w:rPr>
          <w:rFonts w:hint="eastAsia" w:ascii="黑体" w:hAnsi="黑体" w:eastAsia="黑体"/>
          <w:sz w:val="24"/>
          <w:szCs w:val="24"/>
        </w:rPr>
        <w:t>6</w:t>
      </w:r>
      <w:r>
        <w:rPr>
          <w:rFonts w:ascii="黑体" w:hAnsi="黑体" w:eastAsia="黑体"/>
          <w:sz w:val="24"/>
          <w:szCs w:val="24"/>
        </w:rPr>
        <w:t>.</w:t>
      </w:r>
      <w:r>
        <w:rPr>
          <w:rFonts w:hint="eastAsia" w:ascii="黑体" w:hAnsi="黑体" w:eastAsia="黑体"/>
          <w:sz w:val="24"/>
          <w:szCs w:val="24"/>
        </w:rPr>
        <w:t>2</w:t>
      </w:r>
      <w:r>
        <w:rPr>
          <w:rFonts w:ascii="黑体" w:hAnsi="黑体" w:eastAsia="黑体"/>
          <w:sz w:val="24"/>
          <w:szCs w:val="24"/>
        </w:rPr>
        <w:t xml:space="preserve"> </w:t>
      </w:r>
      <w:r>
        <w:rPr>
          <w:rFonts w:hint="eastAsia" w:ascii="黑体" w:hAnsi="黑体" w:eastAsia="黑体"/>
          <w:sz w:val="24"/>
          <w:szCs w:val="24"/>
        </w:rPr>
        <w:t>检测器的基线噪声和基线漂移</w:t>
      </w:r>
      <w:bookmarkEnd w:id="26"/>
    </w:p>
    <w:p w14:paraId="6DD03C3E">
      <w:pPr>
        <w:ind w:firstLine="480" w:firstLineChars="200"/>
        <w:rPr>
          <w:szCs w:val="24"/>
        </w:rPr>
      </w:pPr>
      <w:r>
        <w:rPr>
          <w:szCs w:val="24"/>
        </w:rPr>
        <w:t>将所有检测器与仪器相连，启动检测器，以仪器中溶剂为流动相，设置流速为0.5mL/min，待仪器稳定后，走基线30min，</w:t>
      </w:r>
      <w:bookmarkStart w:id="27" w:name="_Hlk208931900"/>
      <w:r>
        <w:rPr>
          <w:szCs w:val="24"/>
        </w:rPr>
        <w:t>选取基线中噪音最大峰峰高对应的信号值</w:t>
      </w:r>
      <m:oMath>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1</m:t>
            </m:r>
            <m:ctrlPr>
              <w:rPr>
                <w:rFonts w:ascii="Cambria Math" w:hAnsi="Cambria Math"/>
                <w:i/>
              </w:rPr>
            </m:ctrlPr>
          </m:sub>
        </m:sSub>
      </m:oMath>
      <w:r>
        <w:rPr>
          <w:szCs w:val="24"/>
        </w:rPr>
        <w:t>，用检测器自身物理量作为单位表示，按照公式（3）计算检测器基线噪声</w:t>
      </w:r>
      <w:r>
        <w:rPr>
          <w:i/>
          <w:iCs/>
          <w:szCs w:val="24"/>
        </w:rPr>
        <w:t>N</w:t>
      </w:r>
      <w:r>
        <w:rPr>
          <w:szCs w:val="24"/>
        </w:rPr>
        <w:t>。</w:t>
      </w:r>
      <w:bookmarkEnd w:id="27"/>
    </w:p>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2"/>
        <w:gridCol w:w="1042"/>
      </w:tblGrid>
      <w:tr w14:paraId="0519B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92" w:type="dxa"/>
          </w:tcPr>
          <w:p w14:paraId="56A34D8C">
            <w:bookmarkStart w:id="28" w:name="_Hlk208931919"/>
            <m:oMathPara>
              <m:oMath>
                <m:r>
                  <m:rPr/>
                  <w:rPr>
                    <w:rFonts w:hint="eastAsia" w:ascii="Cambria Math" w:hAnsi="Cambria Math"/>
                  </w:rPr>
                  <m:t>N</m:t>
                </m:r>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num>
                  <m:den>
                    <m:r>
                      <m:rPr/>
                      <w:rPr>
                        <w:rFonts w:ascii="Cambria Math" w:hAnsi="Cambria Math"/>
                      </w:rPr>
                      <m:t>X</m:t>
                    </m:r>
                    <m:ctrlPr>
                      <w:rPr>
                        <w:rFonts w:ascii="Cambria Math" w:hAnsi="Cambria Math"/>
                        <w:i/>
                      </w:rPr>
                    </m:ctrlPr>
                  </m:den>
                </m:f>
                <m:r>
                  <m:rPr/>
                  <w:rPr>
                    <w:rFonts w:ascii="Cambria Math" w:hAnsi="Cambria Math"/>
                  </w:rPr>
                  <m:t>×100%</m:t>
                </m:r>
              </m:oMath>
            </m:oMathPara>
          </w:p>
        </w:tc>
        <w:tc>
          <w:tcPr>
            <w:tcW w:w="1042" w:type="dxa"/>
          </w:tcPr>
          <w:p w14:paraId="51E2CE86">
            <w:pPr>
              <w:jc w:val="right"/>
            </w:pPr>
            <w:r>
              <w:t>(</w:t>
            </w:r>
            <w:r>
              <w:rPr>
                <w:rFonts w:hint="eastAsia"/>
              </w:rPr>
              <w:t>3</w:t>
            </w:r>
            <w:r>
              <w:t>)</w:t>
            </w:r>
          </w:p>
        </w:tc>
      </w:tr>
    </w:tbl>
    <w:p w14:paraId="760EC770">
      <w:pPr>
        <w:rPr>
          <w:szCs w:val="24"/>
        </w:rPr>
      </w:pPr>
      <w:r>
        <w:rPr>
          <w:szCs w:val="24"/>
        </w:rPr>
        <w:t>式中：</w:t>
      </w:r>
    </w:p>
    <w:p w14:paraId="719DE15F">
      <w:pPr>
        <w:rPr>
          <w:szCs w:val="24"/>
        </w:rPr>
      </w:pPr>
      <m:oMath>
        <m:sSub>
          <m:sSubPr>
            <m:ctrlPr>
              <w:rPr>
                <w:rFonts w:ascii="Cambria Math" w:hAnsi="Cambria Math"/>
                <w:i/>
                <w:szCs w:val="24"/>
              </w:rPr>
            </m:ctrlPr>
          </m:sSubPr>
          <m:e>
            <m:r>
              <m:rPr/>
              <w:rPr>
                <w:rFonts w:ascii="Cambria Math" w:hAnsi="Cambria Math"/>
                <w:szCs w:val="24"/>
              </w:rPr>
              <m:t>X</m:t>
            </m:r>
            <m:ctrlPr>
              <w:rPr>
                <w:rFonts w:ascii="Cambria Math" w:hAnsi="Cambria Math"/>
                <w:i/>
                <w:szCs w:val="24"/>
              </w:rPr>
            </m:ctrlPr>
          </m:e>
          <m:sub>
            <m:r>
              <m:rPr/>
              <w:rPr>
                <w:rFonts w:ascii="Cambria Math" w:hAnsi="Cambria Math"/>
                <w:szCs w:val="24"/>
              </w:rPr>
              <m:t>1</m:t>
            </m:r>
            <m:ctrlPr>
              <w:rPr>
                <w:rFonts w:ascii="Cambria Math" w:hAnsi="Cambria Math"/>
                <w:i/>
                <w:szCs w:val="24"/>
              </w:rPr>
            </m:ctrlPr>
          </m:sub>
        </m:sSub>
      </m:oMath>
      <w:r>
        <w:rPr>
          <w:szCs w:val="24"/>
        </w:rPr>
        <w:tab/>
      </w:r>
      <w:r>
        <w:rPr>
          <w:szCs w:val="24"/>
        </w:rPr>
        <w:t>——噪音最大峰-峰高对应的信号值</w:t>
      </w:r>
      <w:r>
        <w:rPr>
          <w:rFonts w:hint="eastAsia"/>
          <w:szCs w:val="24"/>
        </w:rPr>
        <w:t>；</w:t>
      </w:r>
    </w:p>
    <w:p w14:paraId="50DBF225">
      <w:pPr>
        <w:rPr>
          <w:szCs w:val="24"/>
        </w:rPr>
      </w:pPr>
      <m:oMath>
        <m:r>
          <m:rPr/>
          <w:rPr>
            <w:rFonts w:ascii="Cambria Math" w:hAnsi="Cambria Math"/>
            <w:szCs w:val="24"/>
          </w:rPr>
          <m:t>X</m:t>
        </m:r>
      </m:oMath>
      <w:r>
        <w:rPr>
          <w:szCs w:val="24"/>
        </w:rPr>
        <w:tab/>
      </w:r>
      <w:r>
        <w:rPr>
          <w:szCs w:val="24"/>
        </w:rPr>
        <w:t>——</w:t>
      </w:r>
      <w:r>
        <w:rPr>
          <w:rFonts w:hint="eastAsia"/>
          <w:szCs w:val="24"/>
        </w:rPr>
        <w:t>检测器的满量程。</w:t>
      </w:r>
    </w:p>
    <w:p w14:paraId="7908DAE6">
      <w:pPr>
        <w:ind w:firstLine="480" w:firstLineChars="200"/>
      </w:pPr>
      <w:r>
        <w:rPr>
          <w:rFonts w:hint="eastAsia"/>
        </w:rPr>
        <w:t>选取30min内极限偏离起始点的最大值</w:t>
      </w:r>
      <m:oMath>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2</m:t>
            </m:r>
            <m:ctrlPr>
              <w:rPr>
                <w:rFonts w:ascii="Cambria Math" w:hAnsi="Cambria Math"/>
                <w:i/>
              </w:rPr>
            </m:ctrlPr>
          </m:sub>
        </m:sSub>
      </m:oMath>
      <w:r>
        <w:rPr>
          <w:rFonts w:hint="eastAsia"/>
        </w:rPr>
        <w:t>，按照公式（4）计算检测器基线漂移</w:t>
      </w:r>
      <m:oMath>
        <m:sSub>
          <m:sSubPr>
            <m:ctrlPr>
              <w:rPr>
                <w:rFonts w:ascii="Cambria Math" w:hAnsi="Cambria Math"/>
                <w:i/>
              </w:rPr>
            </m:ctrlPr>
          </m:sSubPr>
          <m:e>
            <m:r>
              <m:rPr/>
              <w:rPr>
                <w:rFonts w:hint="eastAsia"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oMath>
      <w:r>
        <w:rPr>
          <w:rFonts w:hint="eastAsia"/>
        </w:rPr>
        <w:t>。</w:t>
      </w:r>
    </w:p>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2"/>
        <w:gridCol w:w="1042"/>
      </w:tblGrid>
      <w:tr w14:paraId="5AAE4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92" w:type="dxa"/>
          </w:tcPr>
          <w:p w14:paraId="780CD8E3">
            <m:oMathPara>
              <m:oMath>
                <m:sSub>
                  <m:sSubPr>
                    <m:ctrlPr>
                      <w:rPr>
                        <w:rFonts w:ascii="Cambria Math" w:hAnsi="Cambria Math"/>
                        <w:i/>
                      </w:rPr>
                    </m:ctrlPr>
                  </m:sSubPr>
                  <m:e>
                    <m:r>
                      <m:rPr/>
                      <w:rPr>
                        <w:rFonts w:hint="eastAsia"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num>
                  <m:den>
                    <m:r>
                      <m:rPr/>
                      <w:rPr>
                        <w:rFonts w:ascii="Cambria Math" w:hAnsi="Cambria Math"/>
                      </w:rPr>
                      <m:t>X×t</m:t>
                    </m:r>
                    <m:ctrlPr>
                      <w:rPr>
                        <w:rFonts w:ascii="Cambria Math" w:hAnsi="Cambria Math"/>
                        <w:i/>
                      </w:rPr>
                    </m:ctrlPr>
                  </m:den>
                </m:f>
                <m:r>
                  <m:rPr/>
                  <w:rPr>
                    <w:rFonts w:ascii="Cambria Math" w:hAnsi="Cambria Math"/>
                  </w:rPr>
                  <m:t>×100%</m:t>
                </m:r>
              </m:oMath>
            </m:oMathPara>
          </w:p>
        </w:tc>
        <w:tc>
          <w:tcPr>
            <w:tcW w:w="1042" w:type="dxa"/>
          </w:tcPr>
          <w:p w14:paraId="1FE97806">
            <w:pPr>
              <w:jc w:val="right"/>
            </w:pPr>
            <w:r>
              <w:t>(</w:t>
            </w:r>
            <w:r>
              <w:rPr>
                <w:rFonts w:hint="eastAsia"/>
              </w:rPr>
              <w:t>4</w:t>
            </w:r>
            <w:r>
              <w:t>)</w:t>
            </w:r>
          </w:p>
        </w:tc>
      </w:tr>
    </w:tbl>
    <w:p w14:paraId="1E7324F0">
      <w:pPr>
        <w:rPr>
          <w:szCs w:val="24"/>
        </w:rPr>
      </w:pPr>
      <w:r>
        <w:rPr>
          <w:szCs w:val="24"/>
        </w:rPr>
        <w:t>式中：</w:t>
      </w:r>
    </w:p>
    <w:p w14:paraId="7DEB3052">
      <w:pPr>
        <w:rPr>
          <w:szCs w:val="24"/>
        </w:rPr>
      </w:pPr>
      <m:oMath>
        <m:r>
          <m:rPr/>
          <w:rPr>
            <w:rFonts w:ascii="Cambria Math" w:hAnsi="Cambria Math"/>
            <w:szCs w:val="24"/>
          </w:rPr>
          <m:t>X</m:t>
        </m:r>
      </m:oMath>
      <w:r>
        <w:rPr>
          <w:szCs w:val="24"/>
        </w:rPr>
        <w:tab/>
      </w:r>
      <w:r>
        <w:rPr>
          <w:szCs w:val="24"/>
        </w:rPr>
        <w:t>——</w:t>
      </w:r>
      <w:r>
        <w:rPr>
          <w:rFonts w:hint="eastAsia"/>
          <w:szCs w:val="24"/>
        </w:rPr>
        <w:t>检测器的满量程；</w:t>
      </w:r>
    </w:p>
    <w:p w14:paraId="3ACE4329">
      <w:pPr>
        <w:rPr>
          <w:szCs w:val="24"/>
        </w:rPr>
      </w:pPr>
      <m:oMath>
        <m:r>
          <m:rPr/>
          <w:rPr>
            <w:rFonts w:hint="eastAsia" w:ascii="Cambria Math" w:hAnsi="Cambria Math"/>
            <w:szCs w:val="24"/>
          </w:rPr>
          <m:t>t</m:t>
        </m:r>
      </m:oMath>
      <w:r>
        <w:rPr>
          <w:szCs w:val="24"/>
        </w:rPr>
        <w:tab/>
      </w:r>
      <w:r>
        <w:rPr>
          <w:szCs w:val="24"/>
        </w:rPr>
        <w:t>——</w:t>
      </w:r>
      <w:r>
        <w:rPr>
          <w:rFonts w:hint="eastAsia"/>
          <w:szCs w:val="24"/>
        </w:rPr>
        <w:t>检测器记录基线的时间。</w:t>
      </w:r>
    </w:p>
    <w:bookmarkEnd w:id="28"/>
    <w:p w14:paraId="56D2B4B5">
      <w:pPr>
        <w:pStyle w:val="2"/>
        <w:rPr>
          <w:rFonts w:ascii="黑体" w:hAnsi="黑体" w:eastAsia="黑体"/>
          <w:sz w:val="24"/>
          <w:szCs w:val="24"/>
        </w:rPr>
      </w:pPr>
      <w:bookmarkStart w:id="29" w:name="_Toc208913163"/>
      <w:r>
        <w:rPr>
          <w:rFonts w:hint="eastAsia" w:ascii="黑体" w:hAnsi="黑体" w:eastAsia="黑体"/>
          <w:sz w:val="24"/>
          <w:szCs w:val="24"/>
        </w:rPr>
        <w:t>6</w:t>
      </w:r>
      <w:r>
        <w:rPr>
          <w:rFonts w:ascii="黑体" w:hAnsi="黑体" w:eastAsia="黑体"/>
          <w:sz w:val="24"/>
          <w:szCs w:val="24"/>
        </w:rPr>
        <w:t>.</w:t>
      </w:r>
      <w:r>
        <w:rPr>
          <w:rFonts w:hint="eastAsia" w:ascii="黑体" w:hAnsi="黑体" w:eastAsia="黑体"/>
          <w:sz w:val="24"/>
          <w:szCs w:val="24"/>
        </w:rPr>
        <w:t>3</w:t>
      </w:r>
      <w:r>
        <w:rPr>
          <w:rFonts w:ascii="黑体" w:hAnsi="黑体" w:eastAsia="黑体"/>
          <w:sz w:val="24"/>
          <w:szCs w:val="24"/>
        </w:rPr>
        <w:t xml:space="preserve"> </w:t>
      </w:r>
      <w:r>
        <w:rPr>
          <w:rFonts w:hint="eastAsia" w:ascii="黑体" w:hAnsi="黑体" w:eastAsia="黑体"/>
          <w:sz w:val="24"/>
          <w:szCs w:val="24"/>
        </w:rPr>
        <w:t>仪器测量示值误差</w:t>
      </w:r>
      <w:bookmarkEnd w:id="29"/>
    </w:p>
    <w:p w14:paraId="16B3FEDC">
      <w:pPr>
        <w:ind w:firstLine="480" w:firstLineChars="200"/>
      </w:pPr>
      <w:r>
        <w:rPr>
          <w:rFonts w:hint="eastAsia"/>
        </w:rPr>
        <w:t>根据附录A使用光散射法测量样品，在仪器测量范围内，选用一种窄分布聚苯乙烯（对于有机流动相）或者牛血清白蛋白（对于水流动相仪器）标准物质用于分子量示值误差的计算，选用一种微粒粒度标准物质用于回转半径示值误差的计算。重复测量3次，计算其平均值。</w:t>
      </w:r>
      <w:bookmarkStart w:id="30" w:name="_Hlk208933672"/>
      <w:bookmarkStart w:id="31" w:name="_Hlk208932426"/>
      <w:r>
        <w:rPr>
          <w:rFonts w:hint="eastAsia"/>
        </w:rPr>
        <w:t>按照公式（5）与公式（6）计算分子量及粒径的测量误差，作为仪器测量示值误差。</w:t>
      </w:r>
    </w:p>
    <w:bookmarkEnd w:id="30"/>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2"/>
        <w:gridCol w:w="1042"/>
      </w:tblGrid>
      <w:tr w14:paraId="0F70C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92" w:type="dxa"/>
          </w:tcPr>
          <w:p w14:paraId="48051BBE">
            <m:oMathPara>
              <m:oMath>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acc>
                <m:r>
                  <m:rPr/>
                  <w:rPr>
                    <w:rFonts w:ascii="Cambria Math" w:hAnsi="Cambria Math"/>
                  </w:rPr>
                  <m:t>=</m:t>
                </m:r>
                <m:f>
                  <m:fPr>
                    <m:ctrlPr>
                      <w:rPr>
                        <w:rFonts w:ascii="Cambria Math" w:hAnsi="Cambria Math"/>
                        <w:i/>
                      </w:rPr>
                    </m:ctrlPr>
                  </m:fPr>
                  <m:num>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acc>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r>
                              <m:rPr/>
                              <w:rPr>
                                <w:rFonts w:hint="eastAsia" w:ascii="Cambria Math" w:hAnsi="Cambria Math"/>
                              </w:rPr>
                              <m:t>标</m:t>
                            </m:r>
                            <m:ctrlPr>
                              <w:rPr>
                                <w:rFonts w:ascii="Cambria Math" w:hAnsi="Cambria Math"/>
                                <w:i/>
                              </w:rPr>
                            </m:ctrlPr>
                          </m:sub>
                        </m:sSub>
                        <m:ctrlPr>
                          <w:rPr>
                            <w:rFonts w:ascii="Cambria Math" w:hAnsi="Cambria Math"/>
                            <w:i/>
                          </w:rPr>
                        </m:ctrlPr>
                      </m:e>
                    </m:acc>
                    <m:ctrlPr>
                      <w:rPr>
                        <w:rFonts w:ascii="Cambria Math" w:hAnsi="Cambria Math"/>
                        <w:i/>
                      </w:rPr>
                    </m:ctrlPr>
                  </m:num>
                  <m:den>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r>
                              <m:rPr/>
                              <w:rPr>
                                <w:rFonts w:hint="eastAsia" w:ascii="Cambria Math" w:hAnsi="Cambria Math"/>
                              </w:rPr>
                              <m:t>标</m:t>
                            </m:r>
                            <m:ctrlPr>
                              <w:rPr>
                                <w:rFonts w:ascii="Cambria Math" w:hAnsi="Cambria Math"/>
                                <w:i/>
                              </w:rPr>
                            </m:ctrlPr>
                          </m:sub>
                        </m:sSub>
                        <m:ctrlPr>
                          <w:rPr>
                            <w:rFonts w:ascii="Cambria Math" w:hAnsi="Cambria Math"/>
                            <w:i/>
                          </w:rPr>
                        </m:ctrlPr>
                      </m:e>
                    </m:acc>
                    <m:ctrlPr>
                      <w:rPr>
                        <w:rFonts w:ascii="Cambria Math" w:hAnsi="Cambria Math"/>
                        <w:i/>
                      </w:rPr>
                    </m:ctrlPr>
                  </m:den>
                </m:f>
                <m:r>
                  <m:rPr/>
                  <w:rPr>
                    <w:rFonts w:ascii="Cambria Math" w:hAnsi="Cambria Math"/>
                  </w:rPr>
                  <m:t>×100%</m:t>
                </m:r>
              </m:oMath>
            </m:oMathPara>
          </w:p>
        </w:tc>
        <w:tc>
          <w:tcPr>
            <w:tcW w:w="1042" w:type="dxa"/>
          </w:tcPr>
          <w:p w14:paraId="0706156E">
            <w:pPr>
              <w:jc w:val="right"/>
            </w:pPr>
            <w:r>
              <w:t>(</w:t>
            </w:r>
            <w:r>
              <w:rPr>
                <w:rFonts w:hint="eastAsia"/>
              </w:rPr>
              <w:t>5</w:t>
            </w:r>
            <w:r>
              <w:t>)</w:t>
            </w:r>
          </w:p>
        </w:tc>
      </w:tr>
      <w:tr w14:paraId="199FC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92" w:type="dxa"/>
          </w:tcPr>
          <w:p w14:paraId="3DB9AD5F">
            <m:oMathPara>
              <m:oMath>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acc>
                <m:r>
                  <m:rPr/>
                  <w:rPr>
                    <w:rFonts w:ascii="Cambria Math" w:hAnsi="Cambria Math"/>
                  </w:rPr>
                  <m:t>=</m:t>
                </m:r>
                <m:f>
                  <m:fPr>
                    <m:ctrlPr>
                      <w:rPr>
                        <w:rFonts w:ascii="Cambria Math" w:hAnsi="Cambria Math"/>
                        <w:i/>
                      </w:rPr>
                    </m:ctrlPr>
                  </m:fPr>
                  <w:bookmarkStart w:id="32" w:name="OLE_LINK4"/>
                  <m:num>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acc>
                    <w:bookmarkEnd w:id="32"/>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r>
                              <m:rPr/>
                              <w:rPr>
                                <w:rFonts w:hint="eastAsia" w:ascii="Cambria Math" w:hAnsi="Cambria Math"/>
                              </w:rPr>
                              <m:t>标</m:t>
                            </m:r>
                            <m:ctrlPr>
                              <w:rPr>
                                <w:rFonts w:ascii="Cambria Math" w:hAnsi="Cambria Math"/>
                                <w:i/>
                              </w:rPr>
                            </m:ctrlPr>
                          </m:sub>
                        </m:sSub>
                        <m:ctrlPr>
                          <w:rPr>
                            <w:rFonts w:ascii="Cambria Math" w:hAnsi="Cambria Math"/>
                            <w:i/>
                          </w:rPr>
                        </m:ctrlPr>
                      </m:e>
                    </m:acc>
                    <m:ctrlPr>
                      <w:rPr>
                        <w:rFonts w:ascii="Cambria Math" w:hAnsi="Cambria Math"/>
                        <w:i/>
                      </w:rPr>
                    </m:ctrlPr>
                  </m:num>
                  <m:den>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r>
                              <m:rPr/>
                              <w:rPr>
                                <w:rFonts w:hint="eastAsia" w:ascii="Cambria Math" w:hAnsi="Cambria Math"/>
                              </w:rPr>
                              <m:t>标</m:t>
                            </m:r>
                            <m:ctrlPr>
                              <w:rPr>
                                <w:rFonts w:ascii="Cambria Math" w:hAnsi="Cambria Math"/>
                                <w:i/>
                              </w:rPr>
                            </m:ctrlPr>
                          </m:sub>
                        </m:sSub>
                        <m:ctrlPr>
                          <w:rPr>
                            <w:rFonts w:ascii="Cambria Math" w:hAnsi="Cambria Math"/>
                            <w:i/>
                          </w:rPr>
                        </m:ctrlPr>
                      </m:e>
                    </m:acc>
                    <m:ctrlPr>
                      <w:rPr>
                        <w:rFonts w:ascii="Cambria Math" w:hAnsi="Cambria Math"/>
                        <w:i/>
                      </w:rPr>
                    </m:ctrlPr>
                  </m:den>
                </m:f>
                <m:r>
                  <m:rPr/>
                  <w:rPr>
                    <w:rFonts w:ascii="Cambria Math" w:hAnsi="Cambria Math"/>
                  </w:rPr>
                  <m:t>×100%</m:t>
                </m:r>
              </m:oMath>
            </m:oMathPara>
          </w:p>
        </w:tc>
        <w:tc>
          <w:tcPr>
            <w:tcW w:w="1042" w:type="dxa"/>
          </w:tcPr>
          <w:p w14:paraId="173CFC17">
            <w:pPr>
              <w:jc w:val="right"/>
            </w:pPr>
            <w:r>
              <w:t>(</w:t>
            </w:r>
            <w:r>
              <w:rPr>
                <w:rFonts w:hint="eastAsia"/>
              </w:rPr>
              <w:t>6</w:t>
            </w:r>
            <w:r>
              <w:t>)</w:t>
            </w:r>
          </w:p>
        </w:tc>
      </w:tr>
    </w:tbl>
    <w:p w14:paraId="207DB932">
      <w:pPr>
        <w:rPr>
          <w:szCs w:val="24"/>
        </w:rPr>
      </w:pPr>
      <w:r>
        <w:rPr>
          <w:szCs w:val="24"/>
        </w:rPr>
        <w:t>式中：</w:t>
      </w:r>
    </w:p>
    <w:p w14:paraId="0B4D460F">
      <m:oMath>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acc>
      </m:oMath>
      <w:r>
        <w:tab/>
      </w:r>
      <w:r>
        <w:rPr>
          <w:rFonts w:hint="eastAsia"/>
        </w:rPr>
        <w:t>——分子量的测量误差；</w:t>
      </w:r>
    </w:p>
    <w:p w14:paraId="7119DBE9">
      <m:oMath>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acc>
      </m:oMath>
      <w:r>
        <w:tab/>
      </w:r>
      <w:r>
        <w:tab/>
      </w:r>
      <w:r>
        <w:rPr>
          <w:rFonts w:hint="eastAsia"/>
        </w:rPr>
        <w:t>——重均分子量测量平均值，g/mol；</w:t>
      </w:r>
    </w:p>
    <w:p w14:paraId="5DF504BD">
      <m:oMath>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r>
                  <m:rPr/>
                  <w:rPr>
                    <w:rFonts w:hint="eastAsia" w:ascii="Cambria Math" w:hAnsi="Cambria Math"/>
                  </w:rPr>
                  <m:t>标</m:t>
                </m:r>
                <m:ctrlPr>
                  <w:rPr>
                    <w:rFonts w:ascii="Cambria Math" w:hAnsi="Cambria Math"/>
                    <w:i/>
                  </w:rPr>
                </m:ctrlPr>
              </m:sub>
            </m:sSub>
            <m:ctrlPr>
              <w:rPr>
                <w:rFonts w:ascii="Cambria Math" w:hAnsi="Cambria Math"/>
                <w:i/>
              </w:rPr>
            </m:ctrlPr>
          </m:e>
        </m:acc>
      </m:oMath>
      <w:r>
        <w:tab/>
      </w:r>
      <w:r>
        <w:rPr>
          <w:rFonts w:hint="eastAsia"/>
        </w:rPr>
        <w:t>——标准物质的重均分子量标准值，g/mol；</w:t>
      </w:r>
    </w:p>
    <w:bookmarkEnd w:id="31"/>
    <w:p w14:paraId="716190B2">
      <w:bookmarkStart w:id="33" w:name="_Hlk208933724"/>
      <m:oMath>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acc>
      </m:oMath>
      <w:r>
        <w:tab/>
      </w:r>
      <w:r>
        <w:tab/>
      </w:r>
      <w:r>
        <w:rPr>
          <w:rFonts w:hint="eastAsia"/>
        </w:rPr>
        <w:t>——回转半径的测量误差；</w:t>
      </w:r>
    </w:p>
    <w:p w14:paraId="03D4B22E">
      <m:oMath>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acc>
      </m:oMath>
      <w:r>
        <w:tab/>
      </w:r>
      <w:r>
        <w:tab/>
      </w:r>
      <w:r>
        <w:rPr>
          <w:rFonts w:hint="eastAsia"/>
        </w:rPr>
        <w:t>——回转半径测量平均值，nm；</w:t>
      </w:r>
    </w:p>
    <w:p w14:paraId="1ECED3B3">
      <m:oMath>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r>
                  <m:rPr/>
                  <w:rPr>
                    <w:rFonts w:hint="eastAsia" w:ascii="Cambria Math" w:hAnsi="Cambria Math"/>
                  </w:rPr>
                  <m:t>标</m:t>
                </m:r>
                <m:ctrlPr>
                  <w:rPr>
                    <w:rFonts w:ascii="Cambria Math" w:hAnsi="Cambria Math"/>
                    <w:i/>
                  </w:rPr>
                </m:ctrlPr>
              </m:sub>
            </m:sSub>
            <m:ctrlPr>
              <w:rPr>
                <w:rFonts w:ascii="Cambria Math" w:hAnsi="Cambria Math"/>
                <w:i/>
              </w:rPr>
            </m:ctrlPr>
          </m:e>
        </m:acc>
      </m:oMath>
      <w:r>
        <w:tab/>
      </w:r>
      <w:r>
        <w:rPr>
          <w:rFonts w:hint="eastAsia"/>
        </w:rPr>
        <w:t>——标准物质的回转半径标准值，nm。</w:t>
      </w:r>
    </w:p>
    <w:bookmarkEnd w:id="33"/>
    <w:p w14:paraId="1669E92D">
      <w:pPr>
        <w:pStyle w:val="2"/>
        <w:rPr>
          <w:rFonts w:ascii="黑体" w:hAnsi="黑体" w:eastAsia="黑体"/>
          <w:sz w:val="24"/>
          <w:szCs w:val="24"/>
        </w:rPr>
      </w:pPr>
      <w:bookmarkStart w:id="34" w:name="_Toc208913164"/>
      <w:r>
        <w:rPr>
          <w:rFonts w:hint="eastAsia" w:ascii="黑体" w:hAnsi="黑体" w:eastAsia="黑体"/>
          <w:sz w:val="24"/>
          <w:szCs w:val="24"/>
        </w:rPr>
        <w:t>6</w:t>
      </w:r>
      <w:r>
        <w:rPr>
          <w:rFonts w:ascii="黑体" w:hAnsi="黑体" w:eastAsia="黑体"/>
          <w:sz w:val="24"/>
          <w:szCs w:val="24"/>
        </w:rPr>
        <w:t>.</w:t>
      </w:r>
      <w:r>
        <w:rPr>
          <w:rFonts w:hint="eastAsia" w:ascii="黑体" w:hAnsi="黑体" w:eastAsia="黑体"/>
          <w:sz w:val="24"/>
          <w:szCs w:val="24"/>
        </w:rPr>
        <w:t>4</w:t>
      </w:r>
      <w:r>
        <w:rPr>
          <w:rFonts w:ascii="黑体" w:hAnsi="黑体" w:eastAsia="黑体"/>
          <w:sz w:val="24"/>
          <w:szCs w:val="24"/>
        </w:rPr>
        <w:t xml:space="preserve"> </w:t>
      </w:r>
      <w:r>
        <w:rPr>
          <w:rFonts w:hint="eastAsia" w:ascii="黑体" w:hAnsi="黑体" w:eastAsia="黑体"/>
          <w:sz w:val="24"/>
          <w:szCs w:val="24"/>
        </w:rPr>
        <w:t>仪器测量重复性</w:t>
      </w:r>
      <w:bookmarkEnd w:id="34"/>
    </w:p>
    <w:p w14:paraId="3BB96943">
      <w:pPr>
        <w:ind w:firstLine="480" w:firstLineChars="200"/>
        <w:rPr>
          <w:szCs w:val="24"/>
        </w:rPr>
      </w:pPr>
      <w:r>
        <w:rPr>
          <w:rFonts w:hint="eastAsia"/>
          <w:szCs w:val="24"/>
        </w:rPr>
        <w:t>将6.3中重均分子量3次重复测量结果带入公式（7）中计算重均分子量测量重复性。</w:t>
      </w:r>
    </w:p>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2"/>
        <w:gridCol w:w="1042"/>
      </w:tblGrid>
      <w:tr w14:paraId="7F402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92" w:type="dxa"/>
          </w:tcPr>
          <w:p w14:paraId="53266FA4">
            <m:oMathPara>
              <m:oMath>
                <m:sSub>
                  <w:bookmarkStart w:id="35" w:name="OLE_LINK3"/>
                  <m:sSubPr>
                    <m:ctrlPr>
                      <w:rPr>
                        <w:rFonts w:ascii="Cambria Math" w:hAnsi="Cambria Math"/>
                        <w:i/>
                      </w:rPr>
                    </m:ctrlPr>
                  </m:sSubPr>
                  <m:e>
                    <m:r>
                      <m:rPr/>
                      <w:rPr>
                        <w:rFonts w:ascii="Cambria Math" w:hAnsi="Cambria Math"/>
                      </w:rPr>
                      <m:t>δ</m:t>
                    </m:r>
                    <m:ctrlPr>
                      <w:rPr>
                        <w:rFonts w:ascii="Cambria Math" w:hAnsi="Cambria Math"/>
                        <w:i/>
                      </w:rPr>
                    </m:ctrlPr>
                  </m:e>
                  <m:sub>
                    <m:r>
                      <m:rPr/>
                      <w:rPr>
                        <w:rFonts w:ascii="Cambria Math" w:hAnsi="Cambria Math"/>
                      </w:rPr>
                      <m:t>MW</m:t>
                    </m:r>
                    <m:ctrlPr>
                      <w:rPr>
                        <w:rFonts w:ascii="Cambria Math" w:hAnsi="Cambria Math"/>
                        <w:i/>
                      </w:rPr>
                    </m:ctrlPr>
                  </m:sub>
                </m:sSub>
                <w:bookmarkEnd w:id="35"/>
                <m:r>
                  <m:rPr/>
                  <w:rPr>
                    <w:rFonts w:ascii="Cambria Math" w:hAnsi="Cambria Math"/>
                  </w:rPr>
                  <m:t>=</m:t>
                </m:r>
                <m:f>
                  <m:fPr>
                    <m:ctrlPr>
                      <w:rPr>
                        <w:rFonts w:ascii="Cambria Math" w:hAnsi="Cambria Math"/>
                        <w:i/>
                      </w:rPr>
                    </m:ctrlPr>
                  </m:fPr>
                  <m:num>
                    <m:sSub>
                      <w:bookmarkStart w:id="36" w:name="OLE_LINK7"/>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 xml:space="preserve">w </m:t>
                        </m:r>
                        <m:r>
                          <m:rPr/>
                          <w:rPr>
                            <w:rFonts w:hint="eastAsia" w:ascii="Cambria Math" w:hAnsi="Cambria Math"/>
                          </w:rPr>
                          <m:t>max</m:t>
                        </m:r>
                        <m:ctrlPr>
                          <w:rPr>
                            <w:rFonts w:ascii="Cambria Math" w:hAnsi="Cambria Math"/>
                            <w:i/>
                          </w:rPr>
                        </m:ctrlPr>
                        <w:bookmarkEnd w:id="36"/>
                      </m:sub>
                    </m:sSub>
                    <m:r>
                      <m:rPr/>
                      <w:rPr>
                        <w:rFonts w:ascii="Cambria Math" w:hAnsi="Cambria Math"/>
                      </w:rPr>
                      <m:t>−</m:t>
                    </m:r>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 xml:space="preserve">w </m:t>
                        </m:r>
                        <m:r>
                          <m:rPr/>
                          <w:rPr>
                            <w:rFonts w:hint="eastAsia" w:ascii="Cambria Math" w:hAnsi="Cambria Math"/>
                          </w:rPr>
                          <m:t>min</m:t>
                        </m:r>
                        <m:ctrlPr>
                          <w:rPr>
                            <w:rFonts w:ascii="Cambria Math" w:hAnsi="Cambria Math"/>
                            <w:i/>
                          </w:rPr>
                        </m:ctrlPr>
                      </m:sub>
                    </m:sSub>
                    <m:ctrlPr>
                      <w:rPr>
                        <w:rFonts w:ascii="Cambria Math" w:hAnsi="Cambria Math"/>
                        <w:i/>
                      </w:rPr>
                    </m:ctrlPr>
                  </m:num>
                  <m:den>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acc>
                    <m:ctrlPr>
                      <w:rPr>
                        <w:rFonts w:ascii="Cambria Math" w:hAnsi="Cambria Math"/>
                        <w:i/>
                      </w:rPr>
                    </m:ctrlPr>
                  </m:den>
                </m:f>
                <m:r>
                  <m:rPr/>
                  <w:rPr>
                    <w:rFonts w:ascii="Cambria Math" w:hAnsi="Cambria Math"/>
                  </w:rPr>
                  <m:t>×100%</m:t>
                </m:r>
              </m:oMath>
            </m:oMathPara>
          </w:p>
        </w:tc>
        <w:tc>
          <w:tcPr>
            <w:tcW w:w="1042" w:type="dxa"/>
          </w:tcPr>
          <w:p w14:paraId="0495BB53">
            <w:pPr>
              <w:jc w:val="right"/>
            </w:pPr>
            <w:r>
              <w:t>(</w:t>
            </w:r>
            <w:r>
              <w:rPr>
                <w:rFonts w:hint="eastAsia"/>
              </w:rPr>
              <w:t>7</w:t>
            </w:r>
            <w:r>
              <w:t>)</w:t>
            </w:r>
          </w:p>
        </w:tc>
      </w:tr>
    </w:tbl>
    <w:p w14:paraId="6468A056">
      <w:pPr>
        <w:rPr>
          <w:szCs w:val="24"/>
        </w:rPr>
      </w:pPr>
      <w:r>
        <w:rPr>
          <w:szCs w:val="24"/>
        </w:rPr>
        <w:t>式中：</w:t>
      </w:r>
    </w:p>
    <w:p w14:paraId="1CDBEDCB">
      <m:oMath>
        <m:sSub>
          <m:sSubPr>
            <m:ctrlPr>
              <w:rPr>
                <w:rFonts w:ascii="Cambria Math" w:hAnsi="Cambria Math"/>
                <w:i/>
              </w:rPr>
            </m:ctrlPr>
          </m:sSubPr>
          <m:e>
            <m:r>
              <m:rPr/>
              <w:rPr>
                <w:rFonts w:ascii="Cambria Math" w:hAnsi="Cambria Math"/>
              </w:rPr>
              <m:t>δ</m:t>
            </m:r>
            <m:ctrlPr>
              <w:rPr>
                <w:rFonts w:ascii="Cambria Math" w:hAnsi="Cambria Math"/>
                <w:i/>
              </w:rPr>
            </m:ctrlPr>
          </m:e>
          <m:sub>
            <m:r>
              <m:rPr/>
              <w:rPr>
                <w:rFonts w:ascii="Cambria Math" w:hAnsi="Cambria Math"/>
              </w:rPr>
              <m:t>MW</m:t>
            </m:r>
            <m:ctrlPr>
              <w:rPr>
                <w:rFonts w:ascii="Cambria Math" w:hAnsi="Cambria Math"/>
                <w:i/>
              </w:rPr>
            </m:ctrlPr>
          </m:sub>
        </m:sSub>
      </m:oMath>
      <w:r>
        <w:tab/>
      </w:r>
      <w:r>
        <w:rPr>
          <w:rFonts w:hint="eastAsia"/>
        </w:rPr>
        <w:t>——重均分子量测量重复性；</w:t>
      </w:r>
    </w:p>
    <w:p w14:paraId="2C341078">
      <w:pPr>
        <w:jc w:val="left"/>
      </w:pPr>
      <m:oMath>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 xml:space="preserve">w </m:t>
            </m:r>
            <m:r>
              <m:rPr/>
              <w:rPr>
                <w:rFonts w:hint="eastAsia" w:ascii="Cambria Math" w:hAnsi="Cambria Math"/>
              </w:rPr>
              <m:t>max</m:t>
            </m:r>
            <m:ctrlPr>
              <w:rPr>
                <w:rFonts w:ascii="Cambria Math" w:hAnsi="Cambria Math"/>
                <w:i/>
              </w:rPr>
            </m:ctrlPr>
          </m:sub>
        </m:sSub>
      </m:oMath>
      <w:r>
        <w:tab/>
      </w:r>
      <w:r>
        <w:rPr>
          <w:rFonts w:hint="eastAsia"/>
        </w:rPr>
        <w:t>——3次测量重均分子量最大值，g/mol；</w:t>
      </w:r>
    </w:p>
    <w:p w14:paraId="31394DF4">
      <w:pPr>
        <w:jc w:val="left"/>
      </w:pPr>
      <m:oMath>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 xml:space="preserve">w </m:t>
            </m:r>
            <m:r>
              <m:rPr/>
              <w:rPr>
                <w:rFonts w:hint="eastAsia" w:ascii="Cambria Math" w:hAnsi="Cambria Math"/>
              </w:rPr>
              <m:t>min</m:t>
            </m:r>
            <m:ctrlPr>
              <w:rPr>
                <w:rFonts w:ascii="Cambria Math" w:hAnsi="Cambria Math"/>
                <w:i/>
              </w:rPr>
            </m:ctrlPr>
          </m:sub>
        </m:sSub>
      </m:oMath>
      <w:r>
        <w:tab/>
      </w:r>
      <w:r>
        <w:rPr>
          <w:rFonts w:hint="eastAsia"/>
        </w:rPr>
        <w:t>——3次测量重均分子量最小值，g/mol；</w:t>
      </w:r>
    </w:p>
    <w:p w14:paraId="26132AC5">
      <w:pPr>
        <w:ind w:firstLine="480" w:firstLineChars="200"/>
        <w:jc w:val="left"/>
      </w:pPr>
      <w:r>
        <w:rPr>
          <w:rFonts w:hint="eastAsia"/>
        </w:rPr>
        <w:t>将6.3中回转半径3次重复测量结果带入公式（8）中计算回转半径测量重复性。</w:t>
      </w:r>
    </w:p>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2"/>
        <w:gridCol w:w="1042"/>
      </w:tblGrid>
      <w:tr w14:paraId="05E21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92" w:type="dxa"/>
          </w:tcPr>
          <w:p w14:paraId="4D468E58">
            <m:oMathPara>
              <m:oMath>
                <m:sSub>
                  <m:sSubPr>
                    <m:ctrlPr>
                      <w:rPr>
                        <w:rFonts w:ascii="Cambria Math" w:hAnsi="Cambria Math"/>
                        <w:i/>
                      </w:rPr>
                    </m:ctrlPr>
                  </m:sSubPr>
                  <m:e>
                    <m:r>
                      <m:rPr/>
                      <w:rPr>
                        <w:rFonts w:ascii="Cambria Math" w:hAnsi="Cambria Math"/>
                      </w:rPr>
                      <m:t>δ</m:t>
                    </m:r>
                    <m:ctrlPr>
                      <w:rPr>
                        <w:rFonts w:ascii="Cambria Math" w:hAnsi="Cambria Math"/>
                        <w:i/>
                      </w:rPr>
                    </m:ctrlPr>
                  </m:e>
                  <m:sub>
                    <m:r>
                      <m:rPr/>
                      <w:rPr>
                        <w:rFonts w:ascii="Cambria Math" w:hAnsi="Cambria Math"/>
                      </w:rPr>
                      <m:t>Rg</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 xml:space="preserve">g </m:t>
                        </m:r>
                        <m:r>
                          <m:rPr/>
                          <w:rPr>
                            <w:rFonts w:hint="eastAsia" w:ascii="Cambria Math" w:hAnsi="Cambria Math"/>
                          </w:rPr>
                          <m:t>max</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 xml:space="preserve">g </m:t>
                        </m:r>
                        <m:r>
                          <m:rPr/>
                          <w:rPr>
                            <w:rFonts w:hint="eastAsia" w:ascii="Cambria Math" w:hAnsi="Cambria Math"/>
                          </w:rPr>
                          <m:t>min</m:t>
                        </m:r>
                        <m:ctrlPr>
                          <w:rPr>
                            <w:rFonts w:ascii="Cambria Math" w:hAnsi="Cambria Math"/>
                            <w:i/>
                          </w:rPr>
                        </m:ctrlPr>
                      </m:sub>
                    </m:sSub>
                    <m:ctrlPr>
                      <w:rPr>
                        <w:rFonts w:ascii="Cambria Math" w:hAnsi="Cambria Math"/>
                        <w:i/>
                      </w:rPr>
                    </m:ctrlPr>
                  </m:num>
                  <m:den>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acc>
                    <m:ctrlPr>
                      <w:rPr>
                        <w:rFonts w:ascii="Cambria Math" w:hAnsi="Cambria Math"/>
                        <w:i/>
                      </w:rPr>
                    </m:ctrlPr>
                  </m:den>
                </m:f>
                <m:r>
                  <m:rPr/>
                  <w:rPr>
                    <w:rFonts w:ascii="Cambria Math" w:hAnsi="Cambria Math"/>
                  </w:rPr>
                  <m:t>×100%</m:t>
                </m:r>
              </m:oMath>
            </m:oMathPara>
          </w:p>
        </w:tc>
        <w:tc>
          <w:tcPr>
            <w:tcW w:w="1042" w:type="dxa"/>
          </w:tcPr>
          <w:p w14:paraId="26CF9DB6">
            <w:pPr>
              <w:jc w:val="right"/>
            </w:pPr>
            <w:r>
              <w:t>(</w:t>
            </w:r>
            <w:r>
              <w:rPr>
                <w:rFonts w:hint="eastAsia"/>
              </w:rPr>
              <w:t>8</w:t>
            </w:r>
            <w:r>
              <w:t>)</w:t>
            </w:r>
          </w:p>
        </w:tc>
      </w:tr>
    </w:tbl>
    <w:p w14:paraId="70D84BB3">
      <w:pPr>
        <w:jc w:val="left"/>
      </w:pPr>
      <m:oMath>
        <m:sSub>
          <m:sSubPr>
            <m:ctrlPr>
              <w:rPr>
                <w:rFonts w:ascii="Cambria Math" w:hAnsi="Cambria Math"/>
                <w:i/>
              </w:rPr>
            </m:ctrlPr>
          </m:sSubPr>
          <m:e>
            <m:r>
              <m:rPr/>
              <w:rPr>
                <w:rFonts w:ascii="Cambria Math" w:hAnsi="Cambria Math"/>
              </w:rPr>
              <m:t>δ</m:t>
            </m:r>
            <m:ctrlPr>
              <w:rPr>
                <w:rFonts w:ascii="Cambria Math" w:hAnsi="Cambria Math"/>
                <w:i/>
              </w:rPr>
            </m:ctrlPr>
          </m:e>
          <m:sub>
            <m:r>
              <m:rPr/>
              <w:rPr>
                <w:rFonts w:ascii="Cambria Math" w:hAnsi="Cambria Math"/>
              </w:rPr>
              <m:t>Rg</m:t>
            </m:r>
            <m:ctrlPr>
              <w:rPr>
                <w:rFonts w:ascii="Cambria Math" w:hAnsi="Cambria Math"/>
                <w:i/>
              </w:rPr>
            </m:ctrlPr>
          </m:sub>
        </m:sSub>
      </m:oMath>
      <w:r>
        <w:tab/>
      </w:r>
      <w:r>
        <w:tab/>
      </w:r>
      <w:r>
        <w:rPr>
          <w:rFonts w:hint="eastAsia"/>
        </w:rPr>
        <w:t>——回转半径测量重复性；</w:t>
      </w:r>
    </w:p>
    <w:p w14:paraId="69896800">
      <w:pPr>
        <w:jc w:val="left"/>
      </w:pP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 xml:space="preserve">g </m:t>
            </m:r>
            <m:r>
              <m:rPr/>
              <w:rPr>
                <w:rFonts w:hint="eastAsia" w:ascii="Cambria Math" w:hAnsi="Cambria Math"/>
              </w:rPr>
              <m:t>max</m:t>
            </m:r>
            <m:ctrlPr>
              <w:rPr>
                <w:rFonts w:ascii="Cambria Math" w:hAnsi="Cambria Math"/>
                <w:i/>
              </w:rPr>
            </m:ctrlPr>
          </m:sub>
        </m:sSub>
      </m:oMath>
      <w:r>
        <w:tab/>
      </w:r>
      <w:r>
        <w:rPr>
          <w:rFonts w:hint="eastAsia"/>
        </w:rPr>
        <w:t>——3次测量回转半径最大值，nm；</w:t>
      </w:r>
    </w:p>
    <w:p w14:paraId="19217A9E">
      <w:pPr>
        <w:jc w:val="left"/>
      </w:pP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 xml:space="preserve">g </m:t>
            </m:r>
            <m:r>
              <m:rPr/>
              <w:rPr>
                <w:rFonts w:hint="eastAsia" w:ascii="Cambria Math" w:hAnsi="Cambria Math"/>
              </w:rPr>
              <m:t>min</m:t>
            </m:r>
            <m:ctrlPr>
              <w:rPr>
                <w:rFonts w:ascii="Cambria Math" w:hAnsi="Cambria Math"/>
                <w:i/>
              </w:rPr>
            </m:ctrlPr>
          </m:sub>
        </m:sSub>
      </m:oMath>
      <w:r>
        <w:tab/>
      </w:r>
      <w:r>
        <w:rPr>
          <w:rFonts w:hint="eastAsia"/>
        </w:rPr>
        <w:t>——3次测量回转半径最小值，nm。</w:t>
      </w:r>
    </w:p>
    <w:bookmarkEnd w:id="22"/>
    <w:bookmarkEnd w:id="23"/>
    <w:p w14:paraId="17B64F26">
      <w:pPr>
        <w:pStyle w:val="2"/>
        <w:rPr>
          <w:rFonts w:ascii="黑体" w:hAnsi="黑体" w:eastAsia="黑体"/>
          <w:sz w:val="24"/>
          <w:szCs w:val="24"/>
        </w:rPr>
      </w:pPr>
      <w:bookmarkStart w:id="37" w:name="_Toc208913165"/>
      <w:r>
        <w:rPr>
          <w:rFonts w:hint="eastAsia" w:ascii="黑体" w:hAnsi="黑体" w:eastAsia="黑体"/>
          <w:sz w:val="24"/>
          <w:szCs w:val="24"/>
        </w:rPr>
        <w:t>7 校准结果表达</w:t>
      </w:r>
      <w:bookmarkEnd w:id="37"/>
    </w:p>
    <w:p w14:paraId="214868DF">
      <w:pPr>
        <w:ind w:left="360"/>
        <w:rPr>
          <w:szCs w:val="24"/>
        </w:rPr>
      </w:pPr>
      <w:r>
        <w:rPr>
          <w:rFonts w:hint="eastAsia" w:cs="宋体"/>
          <w:szCs w:val="24"/>
        </w:rPr>
        <w:t>校准结果应在校准证书上反映，校准证书应至少包括以下信息：</w:t>
      </w:r>
    </w:p>
    <w:p w14:paraId="71EBFBC4">
      <w:pPr>
        <w:ind w:left="360"/>
        <w:rPr>
          <w:szCs w:val="24"/>
        </w:rPr>
      </w:pPr>
      <w:r>
        <w:rPr>
          <w:szCs w:val="24"/>
        </w:rPr>
        <w:t xml:space="preserve">a)  </w:t>
      </w:r>
      <w:r>
        <w:rPr>
          <w:rFonts w:hint="eastAsia" w:cs="宋体"/>
          <w:szCs w:val="24"/>
        </w:rPr>
        <w:t>标题，如</w:t>
      </w:r>
      <w:r>
        <w:rPr>
          <w:szCs w:val="24"/>
        </w:rPr>
        <w:t>“</w:t>
      </w:r>
      <w:r>
        <w:rPr>
          <w:rFonts w:hint="eastAsia" w:cs="宋体"/>
          <w:szCs w:val="24"/>
        </w:rPr>
        <w:t>校准证书</w:t>
      </w:r>
      <w:r>
        <w:rPr>
          <w:szCs w:val="24"/>
        </w:rPr>
        <w:t>”</w:t>
      </w:r>
      <w:r>
        <w:rPr>
          <w:rFonts w:hint="eastAsia" w:cs="宋体"/>
          <w:szCs w:val="24"/>
        </w:rPr>
        <w:t>；</w:t>
      </w:r>
    </w:p>
    <w:p w14:paraId="0526765B">
      <w:pPr>
        <w:ind w:left="360"/>
        <w:rPr>
          <w:szCs w:val="24"/>
        </w:rPr>
      </w:pPr>
      <w:r>
        <w:rPr>
          <w:szCs w:val="24"/>
        </w:rPr>
        <w:t xml:space="preserve">b)  </w:t>
      </w:r>
      <w:r>
        <w:rPr>
          <w:rFonts w:hint="eastAsia" w:cs="宋体"/>
          <w:szCs w:val="24"/>
        </w:rPr>
        <w:t>实验室名称和地址；</w:t>
      </w:r>
    </w:p>
    <w:p w14:paraId="2F97471E">
      <w:pPr>
        <w:ind w:left="360"/>
        <w:rPr>
          <w:szCs w:val="24"/>
        </w:rPr>
      </w:pPr>
      <w:r>
        <w:rPr>
          <w:szCs w:val="24"/>
        </w:rPr>
        <w:t xml:space="preserve">c)  </w:t>
      </w:r>
      <w:r>
        <w:rPr>
          <w:rFonts w:hint="eastAsia" w:cs="宋体"/>
          <w:szCs w:val="24"/>
        </w:rPr>
        <w:t>进行校准的地点（如果与实验室的地址不同）；</w:t>
      </w:r>
    </w:p>
    <w:p w14:paraId="59901D5E">
      <w:pPr>
        <w:ind w:left="360"/>
        <w:rPr>
          <w:szCs w:val="24"/>
        </w:rPr>
      </w:pPr>
      <w:r>
        <w:rPr>
          <w:szCs w:val="24"/>
        </w:rPr>
        <w:t xml:space="preserve">d)  </w:t>
      </w:r>
      <w:r>
        <w:rPr>
          <w:rFonts w:hint="eastAsia" w:cs="宋体"/>
          <w:szCs w:val="24"/>
        </w:rPr>
        <w:t>证书或报告的唯一性标识（如编号），每页及总页数的标识；</w:t>
      </w:r>
    </w:p>
    <w:p w14:paraId="08C38654">
      <w:pPr>
        <w:ind w:left="360"/>
        <w:rPr>
          <w:szCs w:val="24"/>
        </w:rPr>
      </w:pPr>
      <w:r>
        <w:rPr>
          <w:szCs w:val="24"/>
        </w:rPr>
        <w:t xml:space="preserve">e)  </w:t>
      </w:r>
      <w:r>
        <w:rPr>
          <w:rFonts w:hint="eastAsia" w:cs="宋体"/>
          <w:szCs w:val="24"/>
        </w:rPr>
        <w:t>客户的名称和地址；</w:t>
      </w:r>
    </w:p>
    <w:p w14:paraId="5004FC90">
      <w:pPr>
        <w:ind w:left="360"/>
        <w:rPr>
          <w:szCs w:val="24"/>
        </w:rPr>
      </w:pPr>
      <w:r>
        <w:rPr>
          <w:szCs w:val="24"/>
        </w:rPr>
        <w:t xml:space="preserve">f)  </w:t>
      </w:r>
      <w:r>
        <w:rPr>
          <w:rFonts w:hint="eastAsia" w:cs="宋体"/>
          <w:szCs w:val="24"/>
        </w:rPr>
        <w:t>被校对象的描述和明确标识；</w:t>
      </w:r>
    </w:p>
    <w:p w14:paraId="6A59F50E">
      <w:pPr>
        <w:ind w:left="360"/>
        <w:rPr>
          <w:szCs w:val="24"/>
        </w:rPr>
      </w:pPr>
      <w:r>
        <w:rPr>
          <w:szCs w:val="24"/>
        </w:rPr>
        <w:t xml:space="preserve">g)  </w:t>
      </w:r>
      <w:r>
        <w:rPr>
          <w:rFonts w:hint="eastAsia" w:cs="宋体"/>
          <w:szCs w:val="24"/>
        </w:rPr>
        <w:t>进行校准的日期，如果与校准结果的有效性和应用有关时，应说明被校对象的接收日期；</w:t>
      </w:r>
      <w:r>
        <w:rPr>
          <w:szCs w:val="24"/>
        </w:rPr>
        <w:t xml:space="preserve"> </w:t>
      </w:r>
    </w:p>
    <w:p w14:paraId="181B04A3">
      <w:pPr>
        <w:ind w:left="360"/>
        <w:rPr>
          <w:szCs w:val="24"/>
        </w:rPr>
      </w:pPr>
      <w:r>
        <w:rPr>
          <w:szCs w:val="24"/>
        </w:rPr>
        <w:t xml:space="preserve">h)  </w:t>
      </w:r>
      <w:r>
        <w:rPr>
          <w:rFonts w:hint="eastAsia" w:cs="宋体"/>
          <w:szCs w:val="24"/>
        </w:rPr>
        <w:t>如果与校准结果的有效性和应用有关时，应对被校样品的抽样程序进行说明；</w:t>
      </w:r>
      <w:r>
        <w:rPr>
          <w:szCs w:val="24"/>
        </w:rPr>
        <w:t xml:space="preserve"> </w:t>
      </w:r>
    </w:p>
    <w:p w14:paraId="5F8D9FEE">
      <w:pPr>
        <w:ind w:left="360"/>
        <w:rPr>
          <w:szCs w:val="24"/>
        </w:rPr>
      </w:pPr>
      <w:r>
        <w:rPr>
          <w:szCs w:val="24"/>
        </w:rPr>
        <w:t xml:space="preserve">i)  </w:t>
      </w:r>
      <w:r>
        <w:rPr>
          <w:rFonts w:hint="eastAsia" w:cs="宋体"/>
          <w:szCs w:val="24"/>
        </w:rPr>
        <w:t>校准所依据的技术规范的标识，包括名称及代号；</w:t>
      </w:r>
    </w:p>
    <w:p w14:paraId="573D4893">
      <w:pPr>
        <w:ind w:left="360"/>
        <w:rPr>
          <w:szCs w:val="24"/>
        </w:rPr>
      </w:pPr>
      <w:r>
        <w:rPr>
          <w:szCs w:val="24"/>
        </w:rPr>
        <w:t xml:space="preserve">j)  </w:t>
      </w:r>
      <w:r>
        <w:rPr>
          <w:rFonts w:hint="eastAsia" w:cs="宋体"/>
          <w:szCs w:val="24"/>
        </w:rPr>
        <w:t>本次校准所用测量标准的溯源性及有效性说明；</w:t>
      </w:r>
    </w:p>
    <w:p w14:paraId="65160472">
      <w:pPr>
        <w:ind w:left="360"/>
        <w:rPr>
          <w:szCs w:val="24"/>
        </w:rPr>
      </w:pPr>
      <w:r>
        <w:rPr>
          <w:szCs w:val="24"/>
        </w:rPr>
        <w:t xml:space="preserve">k)  </w:t>
      </w:r>
      <w:r>
        <w:rPr>
          <w:rFonts w:hint="eastAsia" w:cs="宋体"/>
          <w:szCs w:val="24"/>
        </w:rPr>
        <w:t>校准环境的描述；</w:t>
      </w:r>
    </w:p>
    <w:p w14:paraId="18B5697A">
      <w:pPr>
        <w:ind w:left="360"/>
        <w:rPr>
          <w:szCs w:val="24"/>
        </w:rPr>
      </w:pPr>
      <w:r>
        <w:rPr>
          <w:szCs w:val="24"/>
        </w:rPr>
        <w:t xml:space="preserve">l)  </w:t>
      </w:r>
      <w:r>
        <w:rPr>
          <w:rFonts w:hint="eastAsia" w:cs="宋体"/>
          <w:szCs w:val="24"/>
        </w:rPr>
        <w:t>校准结果及其测量不确定度的说明；</w:t>
      </w:r>
    </w:p>
    <w:p w14:paraId="029C1B8E">
      <w:pPr>
        <w:ind w:left="360"/>
        <w:rPr>
          <w:szCs w:val="24"/>
        </w:rPr>
      </w:pPr>
      <w:r>
        <w:rPr>
          <w:szCs w:val="24"/>
        </w:rPr>
        <w:t xml:space="preserve">m)  </w:t>
      </w:r>
      <w:r>
        <w:rPr>
          <w:rFonts w:hint="eastAsia"/>
        </w:rPr>
        <w:t>对校准规范偏离的说明（若有）；</w:t>
      </w:r>
    </w:p>
    <w:p w14:paraId="39D9CCD6">
      <w:pPr>
        <w:ind w:left="360"/>
        <w:rPr>
          <w:szCs w:val="24"/>
        </w:rPr>
      </w:pPr>
      <w:r>
        <w:rPr>
          <w:szCs w:val="24"/>
        </w:rPr>
        <w:t xml:space="preserve">n)  </w:t>
      </w:r>
      <w:r>
        <w:rPr>
          <w:rFonts w:hint="eastAsia" w:cs="宋体"/>
          <w:szCs w:val="24"/>
        </w:rPr>
        <w:t>校准证书或校准报告签发人的签名、职务或等效标识、以及签发日期；</w:t>
      </w:r>
    </w:p>
    <w:p w14:paraId="7393F4B3">
      <w:pPr>
        <w:ind w:left="360"/>
        <w:rPr>
          <w:szCs w:val="24"/>
        </w:rPr>
      </w:pPr>
      <w:r>
        <w:rPr>
          <w:szCs w:val="24"/>
        </w:rPr>
        <w:t xml:space="preserve">o)  </w:t>
      </w:r>
      <w:r>
        <w:rPr>
          <w:rFonts w:hint="eastAsia" w:cs="宋体"/>
          <w:szCs w:val="24"/>
        </w:rPr>
        <w:t>校准结果仅对被校对象有效的声明；</w:t>
      </w:r>
    </w:p>
    <w:p w14:paraId="0E1F6866">
      <w:pPr>
        <w:ind w:left="360"/>
        <w:rPr>
          <w:rFonts w:ascii="Arial" w:hAnsi="Arial" w:cs="Arial"/>
          <w:szCs w:val="24"/>
        </w:rPr>
      </w:pPr>
      <w:r>
        <w:rPr>
          <w:szCs w:val="24"/>
        </w:rPr>
        <w:t xml:space="preserve">p)  </w:t>
      </w:r>
      <w:r>
        <w:rPr>
          <w:rFonts w:hint="eastAsia" w:cs="宋体"/>
          <w:szCs w:val="24"/>
        </w:rPr>
        <w:t>未经实验室书面批准，不得部分复制证书的声明。</w:t>
      </w:r>
    </w:p>
    <w:p w14:paraId="3521A05F"/>
    <w:p w14:paraId="00AE59B7">
      <w:pPr>
        <w:pStyle w:val="2"/>
        <w:rPr>
          <w:rFonts w:ascii="黑体" w:hAnsi="黑体" w:eastAsia="黑体"/>
          <w:sz w:val="24"/>
          <w:szCs w:val="24"/>
        </w:rPr>
      </w:pPr>
      <w:bookmarkStart w:id="38" w:name="_Toc208913166"/>
      <w:r>
        <w:rPr>
          <w:rFonts w:hint="eastAsia" w:ascii="黑体" w:hAnsi="黑体" w:eastAsia="黑体"/>
          <w:sz w:val="24"/>
          <w:szCs w:val="24"/>
        </w:rPr>
        <w:t>8</w:t>
      </w:r>
      <w:r>
        <w:rPr>
          <w:rFonts w:ascii="黑体" w:hAnsi="黑体" w:eastAsia="黑体"/>
          <w:sz w:val="24"/>
          <w:szCs w:val="24"/>
        </w:rPr>
        <w:t xml:space="preserve"> </w:t>
      </w:r>
      <w:r>
        <w:rPr>
          <w:rFonts w:hint="eastAsia" w:ascii="黑体" w:hAnsi="黑体" w:eastAsia="黑体"/>
          <w:sz w:val="24"/>
          <w:szCs w:val="24"/>
        </w:rPr>
        <w:t>复校时间间隔</w:t>
      </w:r>
      <w:bookmarkEnd w:id="38"/>
    </w:p>
    <w:p w14:paraId="343D7EB2">
      <w:pPr>
        <w:ind w:firstLine="480" w:firstLineChars="200"/>
        <w:rPr>
          <w:szCs w:val="24"/>
        </w:rPr>
      </w:pPr>
      <w:r>
        <w:rPr>
          <w:rFonts w:hint="eastAsia"/>
          <w:szCs w:val="24"/>
        </w:rPr>
        <w:t>建议复校时间间隔一般不超过</w:t>
      </w:r>
      <w:r>
        <w:rPr>
          <w:szCs w:val="24"/>
        </w:rPr>
        <w:t>1</w:t>
      </w:r>
      <w:r>
        <w:rPr>
          <w:rFonts w:hint="eastAsia"/>
          <w:szCs w:val="24"/>
        </w:rPr>
        <w:t>年。在校准周期内，若仪器经维修或对测量结果有影响时，应及时进行校准。</w:t>
      </w:r>
      <w:bookmarkStart w:id="39" w:name="_Toc326580621"/>
    </w:p>
    <w:p w14:paraId="7B32A558">
      <w:pPr>
        <w:widowControl/>
        <w:spacing w:line="240" w:lineRule="auto"/>
        <w:jc w:val="left"/>
        <w:rPr>
          <w:szCs w:val="24"/>
        </w:rPr>
      </w:pPr>
      <w:r>
        <w:rPr>
          <w:szCs w:val="24"/>
        </w:rPr>
        <w:br w:type="page"/>
      </w:r>
    </w:p>
    <w:p w14:paraId="5D2DAD65">
      <w:pPr>
        <w:pStyle w:val="2"/>
        <w:rPr>
          <w:rStyle w:val="34"/>
          <w:rFonts w:ascii="黑体" w:hAnsi="黑体" w:eastAsia="黑体"/>
        </w:rPr>
      </w:pPr>
      <w:bookmarkStart w:id="40" w:name="_Toc208913167"/>
      <w:r>
        <w:rPr>
          <w:rStyle w:val="34"/>
          <w:rFonts w:hint="eastAsia" w:ascii="黑体" w:hAnsi="黑体" w:eastAsia="黑体"/>
        </w:rPr>
        <w:t>附录</w:t>
      </w:r>
      <w:r>
        <w:rPr>
          <w:rStyle w:val="34"/>
          <w:rFonts w:ascii="黑体" w:hAnsi="黑体" w:eastAsia="黑体"/>
        </w:rPr>
        <w:t>A</w:t>
      </w:r>
      <w:bookmarkEnd w:id="40"/>
      <w:r>
        <w:rPr>
          <w:rStyle w:val="34"/>
          <w:rFonts w:hint="eastAsia" w:ascii="黑体" w:hAnsi="黑体" w:eastAsia="黑体"/>
        </w:rPr>
        <w:t xml:space="preserve"> </w:t>
      </w:r>
    </w:p>
    <w:p w14:paraId="2315A7B9">
      <w:pPr>
        <w:jc w:val="center"/>
        <w:rPr>
          <w:rStyle w:val="69"/>
          <w:rFonts w:ascii="黑体" w:hAnsi="黑体" w:eastAsia="黑体" w:cs="Times New Roman"/>
        </w:rPr>
      </w:pPr>
      <w:r>
        <w:rPr>
          <w:rStyle w:val="69"/>
          <w:rFonts w:hint="eastAsia" w:ascii="黑体" w:hAnsi="黑体" w:eastAsia="黑体" w:cs="Times New Roman"/>
        </w:rPr>
        <w:t>多角度静态光散射法测量分子量及回转半径</w:t>
      </w:r>
    </w:p>
    <w:p w14:paraId="433DF1CA">
      <w:pPr>
        <w:jc w:val="center"/>
        <w:rPr>
          <w:rStyle w:val="69"/>
          <w:rFonts w:ascii="黑体" w:hAnsi="黑体" w:eastAsia="黑体" w:cs="Times New Roman"/>
        </w:rPr>
      </w:pPr>
    </w:p>
    <w:p w14:paraId="1F503BCF">
      <w:pPr>
        <w:rPr>
          <w:rStyle w:val="69"/>
          <w:rFonts w:ascii="Times New Roman" w:hAnsi="Times New Roman" w:cs="Times New Roman" w:eastAsiaTheme="minorEastAsia"/>
          <w:sz w:val="24"/>
          <w:szCs w:val="24"/>
        </w:rPr>
      </w:pPr>
      <w:r>
        <w:rPr>
          <w:rStyle w:val="69"/>
          <w:rFonts w:hint="eastAsia" w:ascii="Times New Roman" w:hAnsi="Times New Roman" w:cs="Times New Roman" w:eastAsiaTheme="minorEastAsia"/>
          <w:sz w:val="24"/>
          <w:szCs w:val="24"/>
        </w:rPr>
        <w:t>A.1 非对称流动场场流-多角度静态光散射法测量分子量与回转半径原理</w:t>
      </w:r>
    </w:p>
    <w:p w14:paraId="056F1B88">
      <w:pPr>
        <w:widowControl/>
        <w:ind w:firstLine="480" w:firstLineChars="200"/>
        <w:rPr>
          <w:rStyle w:val="69"/>
          <w:rFonts w:ascii="Times New Roman" w:hAnsi="Times New Roman" w:cs="Times New Roman" w:eastAsiaTheme="minorEastAsia"/>
          <w:sz w:val="24"/>
          <w:szCs w:val="24"/>
        </w:rPr>
      </w:pPr>
      <w:r>
        <w:rPr>
          <w:rStyle w:val="69"/>
          <w:rFonts w:hint="eastAsia" w:ascii="Times New Roman" w:hAnsi="Times New Roman" w:cs="Times New Roman" w:eastAsiaTheme="minorEastAsia"/>
          <w:sz w:val="24"/>
          <w:szCs w:val="24"/>
        </w:rPr>
        <w:t>当一束单色光透过聚合物溶液，光受溶液中的溶剂和聚合物分子影响向各个方向 散射。大多数聚合物溶液的光散射都是瑞利散射。由于样品流过产生的散射光强变化可以用超瑞利比可以用徳拜公式B.1表示：</w:t>
      </w:r>
    </w:p>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2"/>
        <w:gridCol w:w="1042"/>
      </w:tblGrid>
      <w:tr w14:paraId="492CF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92" w:type="dxa"/>
          </w:tcPr>
          <w:p w14:paraId="66A10D91">
            <m:oMathPara>
              <m:oMath>
                <m:f>
                  <m:fPr>
                    <m:ctrlPr>
                      <w:rPr>
                        <w:rFonts w:ascii="Cambria Math" w:hAnsi="Cambria Math"/>
                        <w:i/>
                      </w:rPr>
                    </m:ctrlPr>
                  </m:fPr>
                  <m:num>
                    <m:r>
                      <m:rPr/>
                      <w:rPr>
                        <w:rFonts w:ascii="Cambria Math" w:hAnsi="Cambria Math"/>
                      </w:rPr>
                      <m:t>Kc</m:t>
                    </m:r>
                    <m:ctrlPr>
                      <w:rPr>
                        <w:rFonts w:ascii="Cambria Math" w:hAnsi="Cambria Math"/>
                        <w:i/>
                      </w:rPr>
                    </m:ctrlPr>
                  </m:num>
                  <m:den>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θ</m:t>
                        </m:r>
                        <m:ctrlPr>
                          <w:rPr>
                            <w:rFonts w:ascii="Cambria Math" w:hAnsi="Cambria Math"/>
                            <w:i/>
                          </w:rPr>
                        </m:ctrlPr>
                      </m:sub>
                    </m:sSub>
                    <m:ctrlPr>
                      <w:rPr>
                        <w:rFonts w:ascii="Cambria Math" w:hAnsi="Cambria Math"/>
                        <w:i/>
                      </w:rPr>
                    </m:ctrlPr>
                  </m:den>
                </m:f>
                <m:r>
                  <m:rPr/>
                  <w:rPr>
                    <w:rFonts w:ascii="Cambria Math" w:hAnsi="Cambria Math"/>
                  </w:rPr>
                  <m:t>=</m:t>
                </m:r>
                <m:f>
                  <m:fPr>
                    <m:ctrlPr>
                      <w:rPr>
                        <w:rFonts w:ascii="Cambria Math" w:hAnsi="Cambria Math"/>
                        <w:i/>
                      </w:rPr>
                    </m:ctrlPr>
                  </m:fPr>
                  <m:num>
                    <m:r>
                      <m:rPr/>
                      <w:rPr>
                        <w:rFonts w:ascii="Cambria Math" w:hAnsi="Cambria Math"/>
                      </w:rPr>
                      <m:t>1</m:t>
                    </m:r>
                    <m:ctrlPr>
                      <w:rPr>
                        <w:rFonts w:ascii="Cambria Math" w:hAnsi="Cambria Math"/>
                        <w:i/>
                      </w:rPr>
                    </m:ctrlPr>
                  </m:num>
                  <m:den>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r>
                      <m:rPr/>
                      <w:rPr>
                        <w:rFonts w:ascii="Cambria Math" w:hAnsi="Cambria Math"/>
                      </w:rPr>
                      <m:t>P(θ)</m:t>
                    </m:r>
                    <m:ctrlPr>
                      <w:rPr>
                        <w:rFonts w:ascii="Cambria Math" w:hAnsi="Cambria Math"/>
                        <w:i/>
                      </w:rPr>
                    </m:ctrlPr>
                  </m:den>
                </m:f>
                <m:r>
                  <m:rPr/>
                  <w:rPr>
                    <w:rFonts w:ascii="Cambria Math" w:hAnsi="Cambria Math"/>
                  </w:rPr>
                  <m:t>+2</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c</m:t>
                </m:r>
              </m:oMath>
            </m:oMathPara>
          </w:p>
        </w:tc>
        <w:tc>
          <w:tcPr>
            <w:tcW w:w="1042" w:type="dxa"/>
          </w:tcPr>
          <w:p w14:paraId="4B925E00">
            <w:pPr>
              <w:jc w:val="right"/>
            </w:pPr>
            <w:r>
              <w:rPr>
                <w:rFonts w:hint="eastAsia"/>
              </w:rPr>
              <w:t>B.1</w:t>
            </w:r>
          </w:p>
        </w:tc>
      </w:tr>
    </w:tbl>
    <w:p w14:paraId="0B97FC30">
      <w:pPr>
        <w:ind w:firstLine="480" w:firstLineChars="200"/>
      </w:pPr>
      <w:r>
        <w:rPr>
          <w:szCs w:val="24"/>
        </w:rPr>
        <w:t>式中</w:t>
      </w:r>
      <m:oMath>
        <m:r>
          <m:rPr/>
          <w:rPr>
            <w:rFonts w:ascii="Cambria Math" w:hAnsi="Cambria Math"/>
          </w:rPr>
          <m:t>θ</m:t>
        </m:r>
      </m:oMath>
      <w:r>
        <w:rPr>
          <w:rFonts w:hint="eastAsia"/>
        </w:rPr>
        <w:t>为散射角，</w:t>
      </w:r>
      <m:oMath>
        <m:sSub>
          <w:bookmarkStart w:id="41" w:name="OLE_LINK9"/>
          <m:sSubPr>
            <m:ctrlPr>
              <w:rPr>
                <w:rFonts w:ascii="Cambria Math" w:hAnsi="Cambria Math"/>
                <w:i/>
              </w:rPr>
            </m:ctrlPr>
          </m:sSubPr>
          <m:e>
            <m:r>
              <m:rPr/>
              <w:rPr>
                <w:rFonts w:ascii="Cambria Math" w:hAnsi="Cambria Math"/>
              </w:rPr>
              <m:t>R</m:t>
            </m:r>
            <m:ctrlPr>
              <w:rPr>
                <w:rFonts w:ascii="Cambria Math" w:hAnsi="Cambria Math"/>
                <w:i/>
              </w:rPr>
            </m:ctrlPr>
          </m:e>
          <m:sub>
            <w:bookmarkStart w:id="42" w:name="OLE_LINK8"/>
            <m:r>
              <m:rPr/>
              <w:rPr>
                <w:rFonts w:ascii="Cambria Math" w:hAnsi="Cambria Math"/>
              </w:rPr>
              <m:t>θ</m:t>
            </m:r>
            <w:bookmarkEnd w:id="42"/>
            <m:ctrlPr>
              <w:rPr>
                <w:rFonts w:ascii="Cambria Math" w:hAnsi="Cambria Math"/>
                <w:i/>
              </w:rPr>
            </m:ctrlPr>
          </m:sub>
        </m:sSub>
      </m:oMath>
      <w:bookmarkEnd w:id="41"/>
      <w:r>
        <w:tab/>
      </w:r>
      <w:r>
        <w:rPr>
          <w:rFonts w:hint="eastAsia"/>
        </w:rPr>
        <w:t>为散射角</w:t>
      </w:r>
      <m:oMath>
        <m:r>
          <m:rPr/>
          <w:rPr>
            <w:rFonts w:ascii="Cambria Math" w:hAnsi="Cambria Math"/>
          </w:rPr>
          <m:t>θ</m:t>
        </m:r>
      </m:oMath>
      <w:r>
        <w:rPr>
          <w:rFonts w:hint="eastAsia"/>
        </w:rPr>
        <w:t>处的超瑞利比，</w:t>
      </w:r>
      <m:oMath>
        <m:r>
          <m:rPr/>
          <w:rPr>
            <w:rFonts w:hint="eastAsia" w:ascii="Cambria Math" w:hAnsi="Cambria Math"/>
          </w:rPr>
          <m:t>c</m:t>
        </m:r>
      </m:oMath>
      <w:r>
        <w:rPr>
          <w:rFonts w:hint="eastAsia"/>
        </w:rPr>
        <w:t>为浓度，</w:t>
      </w:r>
      <m:oMath>
        <m:sSub>
          <m:sSubPr>
            <m:ctrlPr>
              <w:rPr>
                <w:rFonts w:ascii="Cambria Math" w:hAnsi="Cambria Math"/>
                <w:i/>
              </w:rPr>
            </m:ctrlPr>
          </m:sSubPr>
          <m:e>
            <m:r>
              <m:rPr/>
              <w:rPr>
                <w:rFonts w:hint="eastAsia" w:ascii="Cambria Math" w:hAnsi="Cambria Math"/>
              </w:rPr>
              <m:t>A</m:t>
            </m:r>
            <m:ctrlPr>
              <w:rPr>
                <w:rFonts w:ascii="Cambria Math" w:hAnsi="Cambria Math"/>
                <w:i/>
              </w:rPr>
            </m:ctrlPr>
          </m:e>
          <m:sub>
            <m:r>
              <m:rPr/>
              <w:rPr>
                <w:rFonts w:ascii="Cambria Math" w:hAnsi="Cambria Math"/>
              </w:rPr>
              <m:t>2</m:t>
            </m:r>
            <m:ctrlPr>
              <w:rPr>
                <w:rFonts w:ascii="Cambria Math" w:hAnsi="Cambria Math"/>
                <w:i/>
              </w:rPr>
            </m:ctrlPr>
          </m:sub>
        </m:sSub>
      </m:oMath>
      <w:r>
        <w:rPr>
          <w:rFonts w:hint="eastAsia"/>
        </w:rPr>
        <w:t>为第二维利系数，</w:t>
      </w:r>
      <m:oMath>
        <m:r>
          <m:rPr/>
          <w:rPr>
            <w:rFonts w:ascii="Cambria Math" w:hAnsi="Cambria Math"/>
          </w:rPr>
          <m:t>K</m:t>
        </m:r>
      </m:oMath>
      <w:r>
        <w:rPr>
          <w:rFonts w:hint="eastAsia"/>
        </w:rPr>
        <w:t>为光学常数（B.2），</w:t>
      </w:r>
      <m:oMath>
        <m:r>
          <m:rPr/>
          <w:rPr>
            <w:rFonts w:ascii="Cambria Math" w:hAnsi="Cambria Math"/>
          </w:rPr>
          <m:t>P(θ)</m:t>
        </m:r>
      </m:oMath>
      <w:r>
        <w:rPr>
          <w:rFonts w:hint="eastAsia"/>
        </w:rPr>
        <w:t>为散射因子（B.3）。</w:t>
      </w:r>
    </w:p>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2"/>
        <w:gridCol w:w="1042"/>
      </w:tblGrid>
      <w:tr w14:paraId="5E894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92" w:type="dxa"/>
          </w:tcPr>
          <w:p w14:paraId="01D91229">
            <m:oMathPara>
              <m:oMath>
                <m:r>
                  <m:rPr/>
                  <w:rPr>
                    <w:rFonts w:ascii="Cambria Math" w:hAnsi="Cambria Math"/>
                  </w:rPr>
                  <m:t>K=</m:t>
                </m:r>
                <m:f>
                  <m:fPr>
                    <m:ctrlPr>
                      <w:rPr>
                        <w:rFonts w:ascii="Cambria Math" w:hAnsi="Cambria Math"/>
                        <w:i/>
                      </w:rPr>
                    </m:ctrlPr>
                  </m:fPr>
                  <m:num>
                    <m:r>
                      <m:rPr/>
                      <w:rPr>
                        <w:rFonts w:ascii="Cambria Math" w:hAnsi="Cambria Math"/>
                      </w:rPr>
                      <m:t>4</m:t>
                    </m:r>
                    <m:sSup>
                      <m:sSupPr>
                        <m:ctrlPr>
                          <w:rPr>
                            <w:rFonts w:ascii="Cambria Math" w:hAnsi="Cambria Math"/>
                            <w:i/>
                          </w:rPr>
                        </m:ctrlPr>
                      </m:sSupPr>
                      <m:e>
                        <m:r>
                          <m:rPr/>
                          <w:rPr>
                            <w:rFonts w:ascii="Cambria Math" w:hAnsi="Cambria Math"/>
                          </w:rPr>
                          <m:t>π</m:t>
                        </m:r>
                        <m:ctrlPr>
                          <w:rPr>
                            <w:rFonts w:ascii="Cambria Math" w:hAnsi="Cambria Math"/>
                            <w:i/>
                          </w:rPr>
                        </m:ctrlPr>
                      </m:e>
                      <m:sup>
                        <m:r>
                          <m:rPr/>
                          <w:rPr>
                            <w:rFonts w:ascii="Cambria Math" w:hAnsi="Cambria Math"/>
                          </w:rPr>
                          <m:t>2</m:t>
                        </m:r>
                        <m:ctrlPr>
                          <w:rPr>
                            <w:rFonts w:ascii="Cambria Math" w:hAnsi="Cambria Math"/>
                            <w:i/>
                          </w:rPr>
                        </m:ctrlPr>
                      </m:sup>
                    </m:sSup>
                    <m:sSup>
                      <m:sSupPr>
                        <m:ctrlPr>
                          <w:rPr>
                            <w:rFonts w:ascii="Cambria Math" w:hAnsi="Cambria Math"/>
                            <w:i/>
                          </w:rPr>
                        </m:ctrlPr>
                      </m:sSupPr>
                      <m:e>
                        <m:r>
                          <m:rPr/>
                          <w:rPr>
                            <w:rFonts w:hint="eastAsia" w:ascii="Cambria Math" w:hAnsi="Cambria Math"/>
                          </w:rPr>
                          <m:t>n</m:t>
                        </m:r>
                        <m:ctrlPr>
                          <w:rPr>
                            <w:rFonts w:ascii="Cambria Math" w:hAnsi="Cambria Math"/>
                            <w:i/>
                          </w:rPr>
                        </m:ctrlPr>
                      </m:e>
                      <m:sup>
                        <m:r>
                          <m:rPr/>
                          <w:rPr>
                            <w:rFonts w:ascii="Cambria Math" w:hAnsi="Cambria Math"/>
                          </w:rPr>
                          <m:t>2</m:t>
                        </m:r>
                        <m:ctrlPr>
                          <w:rPr>
                            <w:rFonts w:ascii="Cambria Math" w:hAnsi="Cambria Math"/>
                            <w:i/>
                          </w:rPr>
                        </m:ctrlPr>
                      </m:sup>
                    </m:sSup>
                    <m:sSup>
                      <m:sSupPr>
                        <m:ctrlPr>
                          <w:rPr>
                            <w:rFonts w:ascii="Cambria Math" w:hAnsi="Cambria Math"/>
                            <w:i/>
                          </w:rPr>
                        </m:ctrlPr>
                      </m:sSupPr>
                      <m:e>
                        <m:r>
                          <m:rPr/>
                          <w:rPr>
                            <w:rFonts w:ascii="Cambria Math" w:hAnsi="Cambria Math"/>
                          </w:rPr>
                          <m:t>(</m:t>
                        </m:r>
                        <m:f>
                          <m:fPr>
                            <m:ctrlPr>
                              <w:rPr>
                                <w:rFonts w:ascii="Cambria Math" w:hAnsi="Cambria Math"/>
                                <w:i/>
                              </w:rPr>
                            </m:ctrlPr>
                          </m:fPr>
                          <m:num>
                            <m:r>
                              <m:rPr/>
                              <w:rPr>
                                <w:rFonts w:ascii="Cambria Math" w:hAnsi="Cambria Math"/>
                              </w:rPr>
                              <m:t>dn</m:t>
                            </m:r>
                            <m:ctrlPr>
                              <w:rPr>
                                <w:rFonts w:ascii="Cambria Math" w:hAnsi="Cambria Math"/>
                                <w:i/>
                              </w:rPr>
                            </m:ctrlPr>
                          </m:num>
                          <m:den>
                            <m:r>
                              <m:rPr/>
                              <w:rPr>
                                <w:rFonts w:ascii="Cambria Math" w:hAnsi="Cambria Math"/>
                              </w:rPr>
                              <m:t>dc</m:t>
                            </m:r>
                            <m:ctrlPr>
                              <w:rPr>
                                <w:rFonts w:ascii="Cambria Math" w:hAnsi="Cambria Math"/>
                                <w:i/>
                              </w:rPr>
                            </m:ctrlPr>
                          </m:den>
                        </m:f>
                        <m:r>
                          <m:rPr/>
                          <w:rPr>
                            <w:rFonts w:ascii="Cambria Math" w:hAnsi="Cambria Math"/>
                          </w:rPr>
                          <m:t>)</m:t>
                        </m:r>
                        <m:ctrlPr>
                          <w:rPr>
                            <w:rFonts w:ascii="Cambria Math" w:hAnsi="Cambria Math"/>
                            <w:i/>
                          </w:rPr>
                        </m:ctrlPr>
                      </m:e>
                      <m:sup>
                        <m:r>
                          <m:rPr/>
                          <w:rPr>
                            <w:rFonts w:ascii="Cambria Math" w:hAnsi="Cambria Math"/>
                          </w:rPr>
                          <m:t>2</m:t>
                        </m:r>
                        <m:ctrlPr>
                          <w:rPr>
                            <w:rFonts w:ascii="Cambria Math" w:hAnsi="Cambria Math"/>
                            <w:i/>
                          </w:rPr>
                        </m:ctrlPr>
                      </m:sup>
                    </m:sSup>
                    <m:ctrlPr>
                      <w:rPr>
                        <w:rFonts w:ascii="Cambria Math" w:hAnsi="Cambria Math"/>
                        <w:i/>
                      </w:rPr>
                    </m:ctrlPr>
                  </m:num>
                  <m:den>
                    <m:sSup>
                      <m:sSupPr>
                        <m:ctrlPr>
                          <w:rPr>
                            <w:rFonts w:ascii="Cambria Math" w:hAnsi="Cambria Math"/>
                            <w:i/>
                          </w:rPr>
                        </m:ctrlPr>
                      </m:sSupPr>
                      <m:e>
                        <m:sSub>
                          <m:sSubPr>
                            <m:ctrlPr>
                              <w:rPr>
                                <w:rFonts w:ascii="Cambria Math" w:hAnsi="Cambria Math"/>
                                <w:i/>
                              </w:rPr>
                            </m:ctrlPr>
                          </m:sSubPr>
                          <w:bookmarkStart w:id="43" w:name="OLE_LINK2"/>
                          <m:e>
                            <m:r>
                              <m:rPr/>
                              <w:rPr>
                                <w:rFonts w:hint="eastAsia" w:ascii="Cambria Math" w:hAnsi="Cambria Math"/>
                              </w:rPr>
                              <m:t>λ</m:t>
                            </m:r>
                            <w:bookmarkEnd w:id="43"/>
                            <m:ctrlPr>
                              <w:rPr>
                                <w:rFonts w:ascii="Cambria Math" w:hAnsi="Cambria Math"/>
                                <w:i/>
                              </w:rPr>
                            </m:ctrlPr>
                          </m:e>
                          <m:sub>
                            <m:r>
                              <m:rPr/>
                              <w:rPr>
                                <w:rFonts w:ascii="Cambria Math" w:hAnsi="Cambria Math"/>
                              </w:rPr>
                              <m:t>0</m:t>
                            </m:r>
                            <m:ctrlPr>
                              <w:rPr>
                                <w:rFonts w:ascii="Cambria Math" w:hAnsi="Cambria Math"/>
                                <w:i/>
                              </w:rPr>
                            </m:ctrlPr>
                          </m:sub>
                        </m:sSub>
                        <m:ctrlPr>
                          <w:rPr>
                            <w:rFonts w:ascii="Cambria Math" w:hAnsi="Cambria Math"/>
                            <w:i/>
                          </w:rPr>
                        </m:ctrlPr>
                      </m:e>
                      <m:sup>
                        <m:r>
                          <m:rPr/>
                          <w:rPr>
                            <w:rFonts w:ascii="Cambria Math" w:hAnsi="Cambria Math"/>
                          </w:rPr>
                          <m:t>4</m:t>
                        </m:r>
                        <m:ctrlPr>
                          <w:rPr>
                            <w:rFonts w:ascii="Cambria Math" w:hAnsi="Cambria Math"/>
                            <w:i/>
                          </w:rPr>
                        </m:ctrlPr>
                      </m:sup>
                    </m:s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A</m:t>
                        </m:r>
                        <m:ctrlPr>
                          <w:rPr>
                            <w:rFonts w:ascii="Cambria Math" w:hAnsi="Cambria Math"/>
                            <w:i/>
                          </w:rPr>
                        </m:ctrlPr>
                      </m:sub>
                    </m:sSub>
                    <m:ctrlPr>
                      <w:rPr>
                        <w:rFonts w:ascii="Cambria Math" w:hAnsi="Cambria Math"/>
                        <w:i/>
                      </w:rPr>
                    </m:ctrlPr>
                  </m:den>
                </m:f>
              </m:oMath>
            </m:oMathPara>
          </w:p>
        </w:tc>
        <w:tc>
          <w:tcPr>
            <w:tcW w:w="1042" w:type="dxa"/>
          </w:tcPr>
          <w:p w14:paraId="7F9A53AE">
            <w:pPr>
              <w:jc w:val="right"/>
            </w:pPr>
            <w:r>
              <w:rPr>
                <w:rFonts w:hint="eastAsia"/>
              </w:rPr>
              <w:t>B.2</w:t>
            </w:r>
          </w:p>
        </w:tc>
      </w:tr>
    </w:tbl>
    <w:p w14:paraId="6B83BABA">
      <w:pPr>
        <w:widowControl/>
        <w:ind w:firstLine="480" w:firstLineChars="200"/>
        <w:rPr>
          <w:rFonts w:eastAsiaTheme="minorEastAsia"/>
        </w:rPr>
      </w:pPr>
      <w:r>
        <w:rPr>
          <w:rStyle w:val="69"/>
          <w:rFonts w:hint="eastAsia" w:ascii="Times New Roman" w:hAnsi="Times New Roman" w:cs="Times New Roman" w:eastAsiaTheme="minorEastAsia"/>
          <w:sz w:val="24"/>
          <w:szCs w:val="24"/>
        </w:rPr>
        <w:t>式中</w:t>
      </w:r>
      <m:oMath>
        <m:r>
          <m:rPr/>
          <w:rPr>
            <w:rFonts w:ascii="Cambria Math" w:hAnsi="Cambria Math"/>
          </w:rPr>
          <m:t>n</m:t>
        </m:r>
      </m:oMath>
      <w:r>
        <w:rPr>
          <w:rFonts w:hint="eastAsia" w:eastAsiaTheme="minorEastAsia"/>
        </w:rPr>
        <w:t>为流动相折射率，</w:t>
      </w:r>
      <m:oMath>
        <m:f>
          <m:fPr>
            <m:ctrlPr>
              <w:rPr>
                <w:rFonts w:ascii="Cambria Math" w:hAnsi="Cambria Math"/>
                <w:i/>
              </w:rPr>
            </m:ctrlPr>
          </m:fPr>
          <m:num>
            <m:r>
              <m:rPr/>
              <w:rPr>
                <w:rFonts w:ascii="Cambria Math" w:hAnsi="Cambria Math"/>
              </w:rPr>
              <m:t>dn</m:t>
            </m:r>
            <m:ctrlPr>
              <w:rPr>
                <w:rFonts w:ascii="Cambria Math" w:hAnsi="Cambria Math"/>
                <w:i/>
              </w:rPr>
            </m:ctrlPr>
          </m:num>
          <m:den>
            <m:r>
              <m:rPr/>
              <w:rPr>
                <w:rFonts w:ascii="Cambria Math" w:hAnsi="Cambria Math"/>
              </w:rPr>
              <m:t>dc</m:t>
            </m:r>
            <m:ctrlPr>
              <w:rPr>
                <w:rFonts w:ascii="Cambria Math" w:hAnsi="Cambria Math"/>
                <w:i/>
              </w:rPr>
            </m:ctrlPr>
          </m:den>
        </m:f>
      </m:oMath>
      <w:r>
        <w:rPr>
          <w:rFonts w:hint="eastAsia" w:eastAsiaTheme="minorEastAsia"/>
        </w:rPr>
        <w:t>为比折光指数增量，</w:t>
      </w:r>
      <m:oMath>
        <m:sSub>
          <m:sSubPr>
            <m:ctrlPr>
              <w:rPr>
                <w:rFonts w:ascii="Cambria Math" w:hAnsi="Cambria Math"/>
                <w:i/>
              </w:rPr>
            </m:ctrlPr>
          </m:sSubPr>
          <m:e>
            <m:r>
              <m:rPr/>
              <w:rPr>
                <w:rFonts w:hint="eastAsia" w:ascii="Cambria Math" w:hAnsi="Cambria Math"/>
              </w:rPr>
              <m:t>λ</m:t>
            </m:r>
            <m:ctrlPr>
              <w:rPr>
                <w:rFonts w:ascii="Cambria Math" w:hAnsi="Cambria Math"/>
                <w:i/>
              </w:rPr>
            </m:ctrlPr>
          </m:e>
          <m:sub>
            <m:r>
              <m:rPr/>
              <w:rPr>
                <w:rFonts w:ascii="Cambria Math" w:hAnsi="Cambria Math"/>
              </w:rPr>
              <m:t>0</m:t>
            </m:r>
            <m:ctrlPr>
              <w:rPr>
                <w:rFonts w:ascii="Cambria Math" w:hAnsi="Cambria Math"/>
                <w:i/>
              </w:rPr>
            </m:ctrlPr>
          </m:sub>
        </m:sSub>
      </m:oMath>
      <w:r>
        <w:rPr>
          <w:rFonts w:hint="eastAsia" w:eastAsiaTheme="minorEastAsia"/>
        </w:rPr>
        <w:t>为入射光波长，</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A</m:t>
            </m:r>
            <m:ctrlPr>
              <w:rPr>
                <w:rFonts w:ascii="Cambria Math" w:hAnsi="Cambria Math"/>
                <w:i/>
              </w:rPr>
            </m:ctrlPr>
          </m:sub>
        </m:sSub>
      </m:oMath>
      <w:r>
        <w:rPr>
          <w:rFonts w:hint="eastAsia" w:eastAsiaTheme="minorEastAsia"/>
        </w:rPr>
        <w:t>为阿伏伽德罗常数。</w:t>
      </w:r>
    </w:p>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2"/>
        <w:gridCol w:w="1042"/>
      </w:tblGrid>
      <w:tr w14:paraId="49910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92" w:type="dxa"/>
          </w:tcPr>
          <w:p w14:paraId="289B459A">
            <w:pPr>
              <w:rPr>
                <w:i/>
              </w:rPr>
            </w:pPr>
            <m:oMathPara>
              <m:oMath>
                <m:r>
                  <m:rPr/>
                  <w:rPr>
                    <w:rFonts w:ascii="Cambria Math" w:hAnsi="Cambria Math"/>
                  </w:rPr>
                  <m:t>P(</m:t>
                </m:r>
                <w:bookmarkStart w:id="44" w:name="OLE_LINK10"/>
                <m:r>
                  <m:rPr>
                    <m:sty m:val="p"/>
                  </m:rPr>
                  <w:rPr>
                    <w:rFonts w:ascii="Cambria Math" w:hAnsi="Cambria Math"/>
                  </w:rPr>
                  <m:t>θ</m:t>
                </m:r>
                <w:bookmarkEnd w:id="44"/>
                <m:r>
                  <m:rPr>
                    <m:sty m:val="p"/>
                  </m:rPr>
                  <w:rPr>
                    <w:rFonts w:ascii="Cambria Math" w:hAnsi="Cambria Math"/>
                  </w:rPr>
                  <m:t>)=1−</m:t>
                </m:r>
                <m:f>
                  <m:fPr>
                    <m:ctrlPr>
                      <w:rPr>
                        <w:rFonts w:ascii="Cambria Math" w:hAnsi="Cambria Math"/>
                        <w:i/>
                      </w:rPr>
                    </m:ctrlPr>
                  </m:fPr>
                  <m:num>
                    <m:r>
                      <m:rPr/>
                      <w:rPr>
                        <w:rFonts w:ascii="Cambria Math" w:hAnsi="Cambria Math"/>
                      </w:rPr>
                      <m:t>16</m:t>
                    </m:r>
                    <m:sSup>
                      <m:sSupPr>
                        <m:ctrlPr>
                          <w:rPr>
                            <w:rFonts w:ascii="Cambria Math" w:hAnsi="Cambria Math"/>
                            <w:i/>
                          </w:rPr>
                        </m:ctrlPr>
                      </m:sSupPr>
                      <m:e>
                        <m:r>
                          <m:rPr/>
                          <w:rPr>
                            <w:rFonts w:ascii="Cambria Math" w:hAnsi="Cambria Math"/>
                          </w:rPr>
                          <m:t>π</m:t>
                        </m:r>
                        <m:ctrlPr>
                          <w:rPr>
                            <w:rFonts w:ascii="Cambria Math" w:hAnsi="Cambria Math"/>
                            <w:i/>
                          </w:rPr>
                        </m:ctrlPr>
                      </m:e>
                      <m:sup>
                        <m:r>
                          <m:rPr/>
                          <w:rPr>
                            <w:rFonts w:ascii="Cambria Math" w:hAnsi="Cambria Math"/>
                          </w:rPr>
                          <m:t>2</m:t>
                        </m:r>
                        <m:ctrlPr>
                          <w:rPr>
                            <w:rFonts w:ascii="Cambria Math" w:hAnsi="Cambria Math"/>
                            <w:i/>
                          </w:rPr>
                        </m:ctrlPr>
                      </m:sup>
                    </m:sSup>
                    <m:sSup>
                      <m:sSupPr>
                        <m:ctrlPr>
                          <w:rPr>
                            <w:rFonts w:ascii="Cambria Math" w:hAnsi="Cambria Math"/>
                            <w:i/>
                          </w:rPr>
                        </m:ctrlPr>
                      </m:sSupPr>
                      <m:e>
                        <m:r>
                          <m:rPr/>
                          <w:rPr>
                            <w:rFonts w:hint="eastAsia" w:ascii="Cambria Math" w:hAnsi="Cambria Math"/>
                          </w:rPr>
                          <m:t>n</m:t>
                        </m:r>
                        <m:ctrlPr>
                          <w:rPr>
                            <w:rFonts w:ascii="Cambria Math" w:hAnsi="Cambria Math"/>
                            <w:i/>
                          </w:rPr>
                        </m:ctrlPr>
                      </m:e>
                      <m:sup>
                        <m:r>
                          <m:rPr/>
                          <w:rPr>
                            <w:rFonts w:ascii="Cambria Math" w:hAnsi="Cambria Math"/>
                          </w:rPr>
                          <m:t>2</m:t>
                        </m:r>
                        <m:ctrlPr>
                          <w:rPr>
                            <w:rFonts w:ascii="Cambria Math" w:hAnsi="Cambria Math"/>
                            <w:i/>
                          </w:rPr>
                        </m:ctrlPr>
                      </m:sup>
                    </m:sSup>
                    <m:ctrlPr>
                      <w:rPr>
                        <w:rFonts w:ascii="Cambria Math" w:hAnsi="Cambria Math"/>
                        <w:i/>
                      </w:rPr>
                    </m:ctrlPr>
                  </m:num>
                  <m:den>
                    <m:sSup>
                      <m:sSupPr>
                        <m:ctrlPr>
                          <w:rPr>
                            <w:rFonts w:ascii="Cambria Math" w:hAnsi="Cambria Math"/>
                            <w:i/>
                          </w:rPr>
                        </m:ctrlPr>
                      </m:sSupPr>
                      <m:e>
                        <m:sSub>
                          <m:sSubPr>
                            <m:ctrlPr>
                              <w:rPr>
                                <w:rFonts w:ascii="Cambria Math" w:hAnsi="Cambria Math"/>
                                <w:i/>
                              </w:rPr>
                            </m:ctrlPr>
                          </m:sSubPr>
                          <m:e>
                            <m:r>
                              <m:rPr/>
                              <w:rPr>
                                <w:rFonts w:ascii="Cambria Math" w:hAnsi="Cambria Math"/>
                              </w:rPr>
                              <m:t>3</m:t>
                            </m:r>
                            <m:r>
                              <m:rPr/>
                              <w:rPr>
                                <w:rFonts w:hint="eastAsia" w:ascii="Cambria Math" w:hAnsi="Cambria Math"/>
                              </w:rPr>
                              <m:t>λ</m:t>
                            </m:r>
                            <m:ctrlPr>
                              <w:rPr>
                                <w:rFonts w:ascii="Cambria Math" w:hAnsi="Cambria Math"/>
                                <w:i/>
                              </w:rPr>
                            </m:ctrlPr>
                          </m:e>
                          <m:sub>
                            <m:r>
                              <m:rPr/>
                              <w:rPr>
                                <w:rFonts w:ascii="Cambria Math" w:hAnsi="Cambria Math"/>
                              </w:rPr>
                              <m:t>0</m:t>
                            </m:r>
                            <m:ctrlPr>
                              <w:rPr>
                                <w:rFonts w:ascii="Cambria Math" w:hAnsi="Cambria Math"/>
                                <w:i/>
                              </w:rPr>
                            </m:ctrlPr>
                          </m:sub>
                        </m:sSub>
                        <m:ctrlPr>
                          <w:rPr>
                            <w:rFonts w:ascii="Cambria Math" w:hAnsi="Cambria Math"/>
                            <w:i/>
                          </w:rPr>
                        </m:ctrlPr>
                      </m:e>
                      <m:sup>
                        <m:r>
                          <m:rPr/>
                          <w:rPr>
                            <w:rFonts w:ascii="Cambria Math" w:hAnsi="Cambria Math"/>
                          </w:rPr>
                          <m:t>2</m:t>
                        </m:r>
                        <m:ctrlPr>
                          <w:rPr>
                            <w:rFonts w:ascii="Cambria Math" w:hAnsi="Cambria Math"/>
                            <w:i/>
                          </w:rPr>
                        </m:ctrlPr>
                      </m:sup>
                    </m:sSup>
                    <m:ctrlPr>
                      <w:rPr>
                        <w:rFonts w:ascii="Cambria Math" w:hAnsi="Cambria Math"/>
                        <w:i/>
                      </w:rPr>
                    </m:ctrlPr>
                  </m:den>
                </m:f>
                <m:sSup>
                  <m:sSupPr>
                    <m:ctrlPr>
                      <w:rPr>
                        <w:rFonts w:ascii="Cambria Math" w:hAnsi="Cambria Math"/>
                        <w:i/>
                      </w:rPr>
                    </m:ctrlPr>
                  </m:sSup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sup>
                    <m:r>
                      <m:rPr/>
                      <w:rPr>
                        <w:rFonts w:ascii="Cambria Math" w:hAnsi="Cambria Math"/>
                      </w:rPr>
                      <m:t>2</m:t>
                    </m:r>
                    <m:ctrlPr>
                      <w:rPr>
                        <w:rFonts w:ascii="Cambria Math" w:hAnsi="Cambria Math"/>
                        <w:i/>
                      </w:rPr>
                    </m:ctrlPr>
                  </m:sup>
                </m:s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i/>
                          </w:rPr>
                        </m:ctrlPr>
                      </m:e>
                      <m:sup>
                        <m:r>
                          <m:rPr/>
                          <w:rPr>
                            <w:rFonts w:ascii="Cambria Math" w:hAnsi="Cambria Math"/>
                          </w:rPr>
                          <m:t>2</m:t>
                        </m:r>
                        <m:ctrlPr>
                          <w:rPr>
                            <w:rFonts w:ascii="Cambria Math" w:hAnsi="Cambria Math"/>
                            <w:i/>
                          </w:rPr>
                        </m:ctrlPr>
                      </m:sup>
                    </m:sSup>
                    <m:ctrlPr>
                      <w:rPr>
                        <w:rFonts w:ascii="Cambria Math" w:hAnsi="Cambria Math"/>
                        <w:i/>
                      </w:rPr>
                    </m:ctrlPr>
                  </m:fName>
                  <m:e>
                    <m:r>
                      <m:rPr/>
                      <w:rPr>
                        <w:rFonts w:ascii="Cambria Math" w:hAnsi="Cambria Math"/>
                      </w:rPr>
                      <m:t>(</m:t>
                    </m:r>
                    <m:f>
                      <m:fPr>
                        <m:ctrlPr>
                          <w:rPr>
                            <w:rFonts w:ascii="Cambria Math" w:hAnsi="Cambria Math"/>
                            <w:i/>
                          </w:rPr>
                        </m:ctrlPr>
                      </m:fPr>
                      <m:num>
                        <m:r>
                          <m:rPr/>
                          <w:rPr>
                            <w:rFonts w:hint="eastAsia" w:ascii="Cambria Math" w:hAnsi="Cambria Math"/>
                          </w:rPr>
                          <m:t>θ</m:t>
                        </m:r>
                        <m:ctrlPr>
                          <w:rPr>
                            <w:rFonts w:ascii="Cambria Math" w:hAnsi="Cambria Math"/>
                            <w:i/>
                          </w:rPr>
                        </m:ctrlPr>
                      </m:num>
                      <m:den>
                        <m:r>
                          <m:rPr/>
                          <w:rPr>
                            <w:rFonts w:ascii="Cambria Math" w:hAnsi="Cambria Math"/>
                          </w:rPr>
                          <m:t>2</m:t>
                        </m:r>
                        <m:ctrlPr>
                          <w:rPr>
                            <w:rFonts w:ascii="Cambria Math" w:hAnsi="Cambria Math"/>
                            <w:i/>
                          </w:rPr>
                        </m:ctrlPr>
                      </m:den>
                    </m:f>
                    <m:r>
                      <m:rPr/>
                      <w:rPr>
                        <w:rFonts w:ascii="Cambria Math" w:hAnsi="Cambria Math"/>
                      </w:rPr>
                      <m:t>)</m:t>
                    </m:r>
                    <m:ctrlPr>
                      <w:rPr>
                        <w:rFonts w:ascii="Cambria Math" w:hAnsi="Cambria Math"/>
                        <w:i/>
                      </w:rPr>
                    </m:ctrlPr>
                  </m:e>
                </m:func>
              </m:oMath>
            </m:oMathPara>
          </w:p>
        </w:tc>
        <w:tc>
          <w:tcPr>
            <w:tcW w:w="1042" w:type="dxa"/>
          </w:tcPr>
          <w:p w14:paraId="67C9F38B">
            <w:pPr>
              <w:jc w:val="right"/>
            </w:pPr>
            <w:r>
              <w:rPr>
                <w:rFonts w:hint="eastAsia"/>
              </w:rPr>
              <w:t>B.3</w:t>
            </w:r>
          </w:p>
        </w:tc>
      </w:tr>
    </w:tbl>
    <w:p w14:paraId="601DA216">
      <w:pPr>
        <w:widowControl/>
        <w:ind w:firstLine="480" w:firstLineChars="200"/>
        <w:rPr>
          <w:rStyle w:val="69"/>
          <w:rFonts w:ascii="Times New Roman" w:hAnsi="Times New Roman" w:cs="Times New Roman" w:eastAsiaTheme="minorEastAsia"/>
          <w:sz w:val="24"/>
          <w:szCs w:val="24"/>
        </w:rPr>
      </w:pPr>
      <w:r>
        <w:rPr>
          <w:rFonts w:hint="eastAsia"/>
        </w:rPr>
        <w:t>以</w:t>
      </w:r>
      <m:oMath>
        <m:f>
          <m:fPr>
            <m:ctrlPr>
              <w:rPr>
                <w:rFonts w:ascii="Cambria Math" w:hAnsi="Cambria Math"/>
                <w:i/>
              </w:rPr>
            </m:ctrlPr>
          </m:fPr>
          <m:num>
            <m:r>
              <m:rPr/>
              <w:rPr>
                <w:rFonts w:hint="eastAsia" w:ascii="Cambria Math" w:hAnsi="Cambria Math"/>
              </w:rPr>
              <m:t>K</m:t>
            </m:r>
            <m:r>
              <m:rPr/>
              <w:rPr>
                <w:rFonts w:ascii="Cambria Math" w:hAnsi="Cambria Math"/>
              </w:rPr>
              <m:t>c</m:t>
            </m:r>
            <m:ctrlPr>
              <w:rPr>
                <w:rFonts w:ascii="Cambria Math" w:hAnsi="Cambria Math"/>
                <w:i/>
              </w:rPr>
            </m:ctrlPr>
          </m:num>
          <m:den>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θ</m:t>
                </m:r>
                <m:ctrlPr>
                  <w:rPr>
                    <w:rFonts w:ascii="Cambria Math" w:hAnsi="Cambria Math"/>
                    <w:i/>
                  </w:rPr>
                </m:ctrlPr>
              </m:sub>
            </m:sSub>
            <m:ctrlPr>
              <w:rPr>
                <w:rFonts w:ascii="Cambria Math" w:hAnsi="Cambria Math"/>
                <w:i/>
              </w:rPr>
            </m:ctrlPr>
          </m:den>
        </m:f>
      </m:oMath>
      <w:r>
        <w:rPr>
          <w:rFonts w:hint="eastAsia" w:eastAsiaTheme="minorEastAsia"/>
        </w:rPr>
        <w:t>对</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i/>
                  </w:rPr>
                </m:ctrlPr>
              </m:e>
              <m:sup>
                <m:r>
                  <m:rPr/>
                  <w:rPr>
                    <w:rFonts w:ascii="Cambria Math" w:hAnsi="Cambria Math"/>
                  </w:rPr>
                  <m:t>2</m:t>
                </m:r>
                <m:ctrlPr>
                  <w:rPr>
                    <w:rFonts w:ascii="Cambria Math" w:hAnsi="Cambria Math"/>
                    <w:i/>
                  </w:rPr>
                </m:ctrlPr>
              </m:sup>
            </m:sSup>
            <m:ctrlPr>
              <w:rPr>
                <w:rFonts w:ascii="Cambria Math" w:hAnsi="Cambria Math"/>
                <w:i/>
              </w:rPr>
            </m:ctrlPr>
          </m:fName>
          <m:e>
            <m:r>
              <m:rPr/>
              <w:rPr>
                <w:rFonts w:ascii="Cambria Math" w:hAnsi="Cambria Math"/>
              </w:rPr>
              <m:t>(</m:t>
            </m:r>
            <m:f>
              <m:fPr>
                <m:ctrlPr>
                  <w:rPr>
                    <w:rFonts w:ascii="Cambria Math" w:hAnsi="Cambria Math"/>
                    <w:i/>
                  </w:rPr>
                </m:ctrlPr>
              </m:fPr>
              <m:num>
                <m:r>
                  <m:rPr/>
                  <w:rPr>
                    <w:rFonts w:hint="eastAsia" w:ascii="Cambria Math" w:hAnsi="Cambria Math"/>
                  </w:rPr>
                  <m:t>θ</m:t>
                </m:r>
                <m:ctrlPr>
                  <w:rPr>
                    <w:rFonts w:ascii="Cambria Math" w:hAnsi="Cambria Math"/>
                    <w:i/>
                  </w:rPr>
                </m:ctrlPr>
              </m:num>
              <m:den>
                <m:r>
                  <m:rPr/>
                  <w:rPr>
                    <w:rFonts w:ascii="Cambria Math" w:hAnsi="Cambria Math"/>
                  </w:rPr>
                  <m:t>2</m:t>
                </m:r>
                <m:ctrlPr>
                  <w:rPr>
                    <w:rFonts w:ascii="Cambria Math" w:hAnsi="Cambria Math"/>
                    <w:i/>
                  </w:rPr>
                </m:ctrlPr>
              </m:den>
            </m:f>
            <m:r>
              <m:rPr/>
              <w:rPr>
                <w:rFonts w:ascii="Cambria Math" w:hAnsi="Cambria Math"/>
              </w:rPr>
              <m:t>)</m:t>
            </m:r>
            <m:ctrlPr>
              <w:rPr>
                <w:rFonts w:ascii="Cambria Math" w:hAnsi="Cambria Math"/>
                <w:i/>
              </w:rPr>
            </m:ctrlPr>
          </m:e>
        </m:func>
      </m:oMath>
      <w:r>
        <w:rPr>
          <w:rFonts w:hint="eastAsia" w:eastAsiaTheme="minorEastAsia"/>
        </w:rPr>
        <w:t>作图，</w:t>
      </w:r>
      <w:r>
        <w:rPr>
          <w:rStyle w:val="69"/>
          <w:rFonts w:hint="eastAsia" w:ascii="Times New Roman" w:hAnsi="Times New Roman" w:cs="Times New Roman" w:eastAsiaTheme="minorEastAsia"/>
          <w:sz w:val="24"/>
          <w:szCs w:val="24"/>
        </w:rPr>
        <w:t>当浓度与角度都趋近于0时：</w:t>
      </w:r>
    </w:p>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2"/>
        <w:gridCol w:w="1042"/>
      </w:tblGrid>
      <w:tr w14:paraId="17902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92" w:type="dxa"/>
          </w:tcPr>
          <w:p w14:paraId="3FAF465F">
            <m:oMathPara>
              <m:oMath>
                <m:f>
                  <m:fPr>
                    <m:ctrlPr>
                      <w:rPr>
                        <w:rFonts w:ascii="Cambria Math" w:hAnsi="Cambria Math"/>
                        <w:i/>
                      </w:rPr>
                    </m:ctrlPr>
                  </m:fPr>
                  <m:num>
                    <m:r>
                      <m:rPr/>
                      <w:rPr>
                        <w:rFonts w:ascii="Cambria Math" w:hAnsi="Cambria Math"/>
                      </w:rPr>
                      <m:t>Kc</m:t>
                    </m:r>
                    <m:ctrlPr>
                      <w:rPr>
                        <w:rFonts w:ascii="Cambria Math" w:hAnsi="Cambria Math"/>
                        <w:i/>
                      </w:rPr>
                    </m:ctrlPr>
                  </m:num>
                  <m:den>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θ</m:t>
                        </m:r>
                        <m:ctrlPr>
                          <w:rPr>
                            <w:rFonts w:ascii="Cambria Math" w:hAnsi="Cambria Math"/>
                            <w:i/>
                          </w:rPr>
                        </m:ctrlPr>
                      </m:sub>
                    </m:sSub>
                    <m:ctrlPr>
                      <w:rPr>
                        <w:rFonts w:ascii="Cambria Math" w:hAnsi="Cambria Math"/>
                        <w:i/>
                      </w:rPr>
                    </m:ctrlPr>
                  </m:den>
                </m:f>
                <m:r>
                  <m:rPr/>
                  <w:rPr>
                    <w:rFonts w:ascii="Cambria Math" w:hAnsi="Cambria Math"/>
                  </w:rPr>
                  <m:t>=</m:t>
                </m:r>
                <m:f>
                  <m:fPr>
                    <m:ctrlPr>
                      <w:rPr>
                        <w:rFonts w:ascii="Cambria Math" w:hAnsi="Cambria Math"/>
                        <w:i/>
                      </w:rPr>
                    </m:ctrlPr>
                  </m:fPr>
                  <m:num>
                    <m:r>
                      <m:rPr/>
                      <w:rPr>
                        <w:rFonts w:ascii="Cambria Math" w:hAnsi="Cambria Math"/>
                      </w:rPr>
                      <m:t>1</m:t>
                    </m:r>
                    <m:ctrlPr>
                      <w:rPr>
                        <w:rFonts w:ascii="Cambria Math" w:hAnsi="Cambria Math"/>
                        <w:i/>
                      </w:rPr>
                    </m:ctrlPr>
                  </m:num>
                  <m:den>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den>
                </m:f>
              </m:oMath>
            </m:oMathPara>
          </w:p>
        </w:tc>
        <w:tc>
          <w:tcPr>
            <w:tcW w:w="1042" w:type="dxa"/>
          </w:tcPr>
          <w:p w14:paraId="422B70B8">
            <w:pPr>
              <w:jc w:val="right"/>
            </w:pPr>
            <w:r>
              <w:rPr>
                <w:rFonts w:hint="eastAsia"/>
              </w:rPr>
              <w:t>B.4</w:t>
            </w:r>
          </w:p>
        </w:tc>
      </w:tr>
    </w:tbl>
    <w:p w14:paraId="21194B89">
      <w:pPr>
        <w:widowControl/>
        <w:ind w:firstLine="480" w:firstLineChars="200"/>
        <w:rPr>
          <w:rStyle w:val="69"/>
          <w:rFonts w:ascii="Times New Roman" w:hAnsi="Times New Roman" w:cs="Times New Roman" w:eastAsiaTheme="minorEastAsia"/>
          <w:i/>
          <w:sz w:val="24"/>
          <w:szCs w:val="24"/>
        </w:rPr>
      </w:pPr>
      <w:r>
        <w:rPr>
          <w:rStyle w:val="69"/>
          <w:rFonts w:hint="eastAsia" w:ascii="Times New Roman" w:hAnsi="Times New Roman" w:cs="Times New Roman" w:eastAsiaTheme="minorEastAsia"/>
          <w:sz w:val="24"/>
          <w:szCs w:val="24"/>
        </w:rPr>
        <w:t>当角度趋近于0时，均方回转半径</w:t>
      </w:r>
      <m:oMath>
        <m:sSup>
          <m:sSupPr>
            <m:ctrlPr>
              <w:rPr>
                <w:rFonts w:ascii="Cambria Math" w:hAnsi="Cambria Math"/>
                <w:i/>
              </w:rPr>
            </m:ctrlPr>
          </m:sSup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sup>
            <m:r>
              <m:rPr/>
              <w:rPr>
                <w:rFonts w:ascii="Cambria Math" w:hAnsi="Cambria Math"/>
              </w:rPr>
              <m:t>2</m:t>
            </m:r>
            <m:ctrlPr>
              <w:rPr>
                <w:rFonts w:ascii="Cambria Math" w:hAnsi="Cambria Math"/>
                <w:i/>
              </w:rPr>
            </m:ctrlPr>
          </m:sup>
        </m:sSup>
      </m:oMath>
      <w:r>
        <w:rPr>
          <w:rFonts w:hint="eastAsia" w:eastAsiaTheme="minorEastAsia"/>
        </w:rPr>
        <w:t>可以通过</w:t>
      </w:r>
      <m:oMath>
        <m:r>
          <m:rPr/>
          <w:rPr>
            <w:rFonts w:ascii="Cambria Math" w:hAnsi="Cambria Math"/>
          </w:rPr>
          <m:t>θ</m:t>
        </m:r>
      </m:oMath>
      <w:r>
        <w:rPr>
          <w:rFonts w:hint="eastAsia" w:eastAsiaTheme="minorEastAsia"/>
        </w:rPr>
        <w:t>=0处曲线的斜率计算得出。</w:t>
      </w:r>
    </w:p>
    <w:p w14:paraId="3E6A85EC">
      <w:pPr>
        <w:widowControl/>
        <w:spacing w:line="240" w:lineRule="auto"/>
        <w:jc w:val="left"/>
        <w:rPr>
          <w:rStyle w:val="69"/>
          <w:rFonts w:ascii="Times New Roman" w:hAnsi="Times New Roman" w:cs="Times New Roman" w:eastAsiaTheme="minorEastAsia"/>
          <w:sz w:val="24"/>
          <w:szCs w:val="24"/>
        </w:rPr>
      </w:pPr>
      <w:r>
        <w:rPr>
          <w:rStyle w:val="69"/>
          <w:rFonts w:ascii="Times New Roman" w:hAnsi="Times New Roman" w:cs="Times New Roman" w:eastAsiaTheme="minorEastAsia"/>
          <w:sz w:val="24"/>
          <w:szCs w:val="24"/>
        </w:rPr>
        <w:br w:type="page"/>
      </w:r>
    </w:p>
    <w:p w14:paraId="27864BAE">
      <w:pPr>
        <w:pStyle w:val="2"/>
        <w:rPr>
          <w:rFonts w:ascii="黑体" w:hAnsi="黑体" w:eastAsia="黑体"/>
        </w:rPr>
      </w:pPr>
      <w:bookmarkStart w:id="45" w:name="_Toc164678177"/>
      <w:bookmarkStart w:id="46" w:name="_Toc208913168"/>
      <w:r>
        <w:rPr>
          <w:rFonts w:ascii="黑体" w:hAnsi="黑体" w:eastAsia="黑体"/>
        </w:rPr>
        <w:t>附录</w:t>
      </w:r>
      <w:bookmarkEnd w:id="45"/>
      <w:r>
        <w:rPr>
          <w:rFonts w:hint="eastAsia" w:ascii="黑体" w:hAnsi="黑体" w:eastAsia="黑体"/>
        </w:rPr>
        <w:t>B</w:t>
      </w:r>
      <w:bookmarkEnd w:id="46"/>
    </w:p>
    <w:p w14:paraId="66121558">
      <w:pPr>
        <w:jc w:val="center"/>
        <w:rPr>
          <w:rFonts w:ascii="黑体" w:hAnsi="黑体" w:eastAsia="黑体"/>
          <w:sz w:val="28"/>
          <w:szCs w:val="28"/>
        </w:rPr>
      </w:pPr>
      <w:bookmarkStart w:id="47" w:name="_Toc164678178"/>
      <w:r>
        <w:rPr>
          <w:rFonts w:hint="eastAsia" w:ascii="黑体" w:hAnsi="黑体" w:eastAsia="黑体"/>
          <w:sz w:val="28"/>
          <w:szCs w:val="28"/>
        </w:rPr>
        <w:t>标准物质溶液浓度范围</w:t>
      </w:r>
    </w:p>
    <w:p w14:paraId="7DFA6735">
      <w:pPr>
        <w:widowControl/>
        <w:ind w:firstLine="480" w:firstLineChars="200"/>
        <w:rPr>
          <w:rFonts w:eastAsiaTheme="minorEastAsia"/>
          <w:szCs w:val="24"/>
        </w:rPr>
      </w:pPr>
      <w:bookmarkStart w:id="48" w:name="_Toc164678179"/>
      <w:bookmarkStart w:id="49" w:name="_Hlk208932091"/>
      <w:r>
        <w:rPr>
          <w:rStyle w:val="69"/>
          <w:rFonts w:hint="eastAsia" w:ascii="Times New Roman" w:hAnsi="Times New Roman" w:cs="Times New Roman" w:eastAsiaTheme="minorEastAsia"/>
          <w:sz w:val="24"/>
          <w:szCs w:val="24"/>
        </w:rPr>
        <w:t>通常所配溶液的浓度不宜太高，否则高分子链缠结会影响测量结果，也不能太稀导致信号值太弱。样品信号应在不同检测器均有合适的响应值。</w:t>
      </w:r>
      <w:bookmarkEnd w:id="48"/>
      <w:r>
        <w:rPr>
          <w:rStyle w:val="69"/>
          <w:rFonts w:hint="eastAsia" w:ascii="Times New Roman" w:hAnsi="Times New Roman" w:cs="Times New Roman" w:eastAsiaTheme="minorEastAsia"/>
          <w:sz w:val="24"/>
          <w:szCs w:val="24"/>
        </w:rPr>
        <w:t>分子量标准物质的回转半径一般偏小，信号较弱，为了达到合适的信噪比浓度稍高。粒度标准物质的回转半径偏大，较低浓度也能有很好的信噪比。溶液浓度根据标准物质的种类确定，具体范围参照附表B.1</w:t>
      </w:r>
      <w:r>
        <w:rPr>
          <w:rFonts w:hint="eastAsia"/>
          <w:spacing w:val="2"/>
          <w:szCs w:val="42"/>
        </w:rPr>
        <w:t>。</w:t>
      </w:r>
      <w:bookmarkEnd w:id="47"/>
    </w:p>
    <w:p w14:paraId="0A56526B">
      <w:pPr>
        <w:pStyle w:val="9"/>
        <w:jc w:val="center"/>
        <w:rPr>
          <w:rFonts w:ascii="黑体" w:eastAsia="黑体"/>
          <w:kern w:val="0"/>
          <w:sz w:val="21"/>
          <w:szCs w:val="21"/>
        </w:rPr>
      </w:pPr>
      <w:r>
        <w:rPr>
          <w:rFonts w:hint="eastAsia" w:ascii="黑体" w:eastAsia="黑体"/>
          <w:kern w:val="0"/>
          <w:sz w:val="21"/>
          <w:szCs w:val="21"/>
        </w:rPr>
        <w:t>附表B.1</w:t>
      </w:r>
      <w:r>
        <w:rPr>
          <w:rFonts w:ascii="黑体" w:eastAsia="黑体"/>
          <w:kern w:val="0"/>
          <w:sz w:val="21"/>
          <w:szCs w:val="21"/>
        </w:rPr>
        <w:t xml:space="preserve"> </w:t>
      </w:r>
      <w:r>
        <w:rPr>
          <w:rFonts w:hint="eastAsia" w:ascii="黑体" w:eastAsia="黑体"/>
          <w:kern w:val="0"/>
          <w:sz w:val="21"/>
          <w:szCs w:val="21"/>
        </w:rPr>
        <w:t>配制溶液浓度范围对照表</w:t>
      </w: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3"/>
        <w:gridCol w:w="5053"/>
      </w:tblGrid>
      <w:tr w14:paraId="08D54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673" w:type="dxa"/>
            <w:vAlign w:val="center"/>
          </w:tcPr>
          <w:p w14:paraId="4157F842">
            <w:pPr>
              <w:autoSpaceDE w:val="0"/>
              <w:autoSpaceDN w:val="0"/>
              <w:adjustRightInd w:val="0"/>
              <w:snapToGrid w:val="0"/>
              <w:jc w:val="center"/>
            </w:pPr>
            <w:r>
              <w:rPr>
                <w:rFonts w:hint="eastAsia"/>
              </w:rPr>
              <w:t>种类</w:t>
            </w:r>
          </w:p>
        </w:tc>
        <w:tc>
          <w:tcPr>
            <w:tcW w:w="5053" w:type="dxa"/>
            <w:vAlign w:val="center"/>
          </w:tcPr>
          <w:p w14:paraId="1C4471FA">
            <w:pPr>
              <w:autoSpaceDE w:val="0"/>
              <w:autoSpaceDN w:val="0"/>
              <w:adjustRightInd w:val="0"/>
              <w:snapToGrid w:val="0"/>
              <w:jc w:val="center"/>
              <w:rPr>
                <w:spacing w:val="2"/>
                <w:kern w:val="0"/>
              </w:rPr>
            </w:pPr>
            <w:r>
              <w:rPr>
                <w:spacing w:val="2"/>
                <w:kern w:val="0"/>
              </w:rPr>
              <w:t>浓度</w:t>
            </w:r>
            <w:r>
              <w:rPr>
                <w:rFonts w:hint="eastAsia"/>
                <w:spacing w:val="2"/>
                <w:kern w:val="0"/>
              </w:rPr>
              <w:t>（</w:t>
            </w:r>
            <w:r>
              <w:rPr>
                <w:spacing w:val="2"/>
                <w:kern w:val="0"/>
              </w:rPr>
              <w:t>mg/mL</w:t>
            </w:r>
            <w:r>
              <w:rPr>
                <w:rFonts w:hint="eastAsia"/>
                <w:spacing w:val="2"/>
                <w:kern w:val="0"/>
              </w:rPr>
              <w:t>）</w:t>
            </w:r>
          </w:p>
        </w:tc>
      </w:tr>
      <w:tr w14:paraId="267A0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673" w:type="dxa"/>
            <w:vAlign w:val="center"/>
          </w:tcPr>
          <w:p w14:paraId="79B3CDE1">
            <w:pPr>
              <w:autoSpaceDE w:val="0"/>
              <w:autoSpaceDN w:val="0"/>
              <w:adjustRightInd w:val="0"/>
              <w:snapToGrid w:val="0"/>
              <w:jc w:val="center"/>
              <w:rPr>
                <w:spacing w:val="2"/>
                <w:kern w:val="0"/>
              </w:rPr>
            </w:pPr>
            <w:r>
              <w:rPr>
                <w:rFonts w:hint="eastAsia"/>
                <w:spacing w:val="2"/>
                <w:kern w:val="0"/>
              </w:rPr>
              <w:t>分子量标准物质</w:t>
            </w:r>
          </w:p>
        </w:tc>
        <w:tc>
          <w:tcPr>
            <w:tcW w:w="5053" w:type="dxa"/>
            <w:vAlign w:val="center"/>
          </w:tcPr>
          <w:p w14:paraId="01EE1A77">
            <w:pPr>
              <w:autoSpaceDE w:val="0"/>
              <w:autoSpaceDN w:val="0"/>
              <w:adjustRightInd w:val="0"/>
              <w:snapToGrid w:val="0"/>
              <w:jc w:val="center"/>
              <w:rPr>
                <w:spacing w:val="2"/>
                <w:kern w:val="0"/>
              </w:rPr>
            </w:pPr>
            <w:r>
              <w:rPr>
                <w:rFonts w:hint="eastAsia"/>
                <w:spacing w:val="2"/>
                <w:kern w:val="0"/>
              </w:rPr>
              <w:t>10</w:t>
            </w:r>
          </w:p>
        </w:tc>
      </w:tr>
      <w:tr w14:paraId="7A5DA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673" w:type="dxa"/>
            <w:vAlign w:val="center"/>
          </w:tcPr>
          <w:p w14:paraId="3248AFC6">
            <w:pPr>
              <w:autoSpaceDE w:val="0"/>
              <w:autoSpaceDN w:val="0"/>
              <w:adjustRightInd w:val="0"/>
              <w:snapToGrid w:val="0"/>
              <w:jc w:val="center"/>
              <w:rPr>
                <w:spacing w:val="2"/>
                <w:kern w:val="0"/>
              </w:rPr>
            </w:pPr>
            <w:r>
              <w:rPr>
                <w:rFonts w:hint="eastAsia"/>
                <w:spacing w:val="2"/>
                <w:kern w:val="0"/>
              </w:rPr>
              <w:t>粒度标准物质</w:t>
            </w:r>
          </w:p>
        </w:tc>
        <w:tc>
          <w:tcPr>
            <w:tcW w:w="5053" w:type="dxa"/>
            <w:vAlign w:val="center"/>
          </w:tcPr>
          <w:p w14:paraId="298BFC5F">
            <w:pPr>
              <w:autoSpaceDE w:val="0"/>
              <w:autoSpaceDN w:val="0"/>
              <w:adjustRightInd w:val="0"/>
              <w:snapToGrid w:val="0"/>
              <w:jc w:val="center"/>
              <w:rPr>
                <w:spacing w:val="2"/>
                <w:kern w:val="0"/>
              </w:rPr>
            </w:pPr>
            <w:r>
              <w:rPr>
                <w:rFonts w:hint="eastAsia"/>
                <w:spacing w:val="2"/>
                <w:kern w:val="0"/>
              </w:rPr>
              <w:t>1</w:t>
            </w:r>
          </w:p>
        </w:tc>
      </w:tr>
    </w:tbl>
    <w:p w14:paraId="5DEBFDA6">
      <w:pPr>
        <w:widowControl/>
        <w:ind w:firstLine="480" w:firstLineChars="200"/>
        <w:rPr>
          <w:rStyle w:val="69"/>
          <w:rFonts w:ascii="Times New Roman" w:hAnsi="Times New Roman" w:cs="Times New Roman" w:eastAsiaTheme="minorEastAsia"/>
          <w:sz w:val="24"/>
          <w:szCs w:val="24"/>
        </w:rPr>
      </w:pPr>
      <w:bookmarkStart w:id="50" w:name="_Hlk190268009"/>
      <w:r>
        <w:rPr>
          <w:rStyle w:val="69"/>
          <w:rFonts w:hint="eastAsia" w:ascii="Times New Roman" w:hAnsi="Times New Roman" w:cs="Times New Roman" w:eastAsiaTheme="minorEastAsia"/>
          <w:sz w:val="24"/>
          <w:szCs w:val="24"/>
        </w:rPr>
        <w:t>配制时，使用电子天平称取溶质与溶剂。溶剂的体积可根据溶剂的密度与称量结果进行计算。</w:t>
      </w:r>
    </w:p>
    <w:bookmarkEnd w:id="49"/>
    <w:bookmarkEnd w:id="50"/>
    <w:p w14:paraId="5BFF6C56">
      <w:pPr>
        <w:widowControl/>
        <w:spacing w:line="240" w:lineRule="auto"/>
        <w:jc w:val="left"/>
        <w:rPr>
          <w:rStyle w:val="69"/>
          <w:rFonts w:ascii="Times New Roman" w:hAnsi="Times New Roman" w:cs="Times New Roman" w:eastAsiaTheme="minorEastAsia"/>
          <w:sz w:val="24"/>
          <w:szCs w:val="24"/>
        </w:rPr>
      </w:pPr>
      <w:r>
        <w:rPr>
          <w:rStyle w:val="69"/>
          <w:rFonts w:ascii="Times New Roman" w:hAnsi="Times New Roman" w:cs="Times New Roman" w:eastAsiaTheme="minorEastAsia"/>
          <w:sz w:val="24"/>
          <w:szCs w:val="24"/>
        </w:rPr>
        <w:br w:type="page"/>
      </w:r>
    </w:p>
    <w:p w14:paraId="259C868D">
      <w:pPr>
        <w:pStyle w:val="2"/>
        <w:rPr>
          <w:rFonts w:ascii="黑体" w:hAnsi="黑体" w:eastAsia="黑体"/>
        </w:rPr>
      </w:pPr>
      <w:bookmarkStart w:id="51" w:name="_Toc208913169"/>
      <w:r>
        <w:rPr>
          <w:rFonts w:ascii="黑体" w:hAnsi="黑体" w:eastAsia="黑体"/>
        </w:rPr>
        <w:t>附录</w:t>
      </w:r>
      <w:r>
        <w:rPr>
          <w:rFonts w:hint="eastAsia" w:ascii="黑体" w:hAnsi="黑体" w:eastAsia="黑体"/>
        </w:rPr>
        <w:t>C</w:t>
      </w:r>
      <w:bookmarkEnd w:id="51"/>
    </w:p>
    <w:p w14:paraId="00E29489">
      <w:pPr>
        <w:jc w:val="center"/>
        <w:rPr>
          <w:rFonts w:ascii="黑体" w:hAnsi="黑体" w:eastAsia="黑体"/>
          <w:sz w:val="28"/>
          <w:szCs w:val="28"/>
        </w:rPr>
      </w:pPr>
      <w:r>
        <w:rPr>
          <w:rFonts w:hint="eastAsia" w:ascii="黑体" w:hAnsi="黑体" w:eastAsia="黑体"/>
          <w:sz w:val="28"/>
          <w:szCs w:val="28"/>
        </w:rPr>
        <w:t>消光系数与比折光指数增量</w:t>
      </w:r>
    </w:p>
    <w:p w14:paraId="0F68FFEC">
      <w:pPr>
        <w:widowControl/>
        <w:ind w:firstLine="480" w:firstLineChars="200"/>
        <w:rPr>
          <w:rFonts w:eastAsiaTheme="minorEastAsia"/>
          <w:szCs w:val="24"/>
        </w:rPr>
      </w:pPr>
      <w:r>
        <w:rPr>
          <w:rFonts w:eastAsiaTheme="minorEastAsia"/>
          <w:szCs w:val="24"/>
        </w:rPr>
        <w:t>低浓度下，吸光度与浓度遵循朗伯-比尔定律，呈现正相关关系。通过输入准确的消光系数</w:t>
      </w:r>
      <m:oMath>
        <m:r>
          <m:rPr/>
          <w:rPr>
            <w:rFonts w:ascii="Cambria Math" w:hAnsi="Cambria Math" w:eastAsiaTheme="minorEastAsia"/>
            <w:szCs w:val="24"/>
          </w:rPr>
          <m:t>ε</m:t>
        </m:r>
      </m:oMath>
      <w:r>
        <w:rPr>
          <w:rFonts w:eastAsiaTheme="minorEastAsia"/>
          <w:szCs w:val="24"/>
        </w:rPr>
        <w:t>，可以计算出当前样品的浓度值，而该浓度值也作为参数参与分子量的计算。如果采用示差折光检测</w:t>
      </w:r>
      <w:r>
        <w:rPr>
          <w:rFonts w:hint="eastAsia" w:eastAsiaTheme="minorEastAsia"/>
          <w:szCs w:val="24"/>
        </w:rPr>
        <w:t>器</w:t>
      </w:r>
      <w:r>
        <w:rPr>
          <w:rFonts w:eastAsiaTheme="minorEastAsia"/>
          <w:szCs w:val="24"/>
        </w:rPr>
        <w:t>，则需要输入</w:t>
      </w:r>
      <w:r>
        <w:rPr>
          <w:rFonts w:hint="eastAsia" w:eastAsiaTheme="minorEastAsia"/>
          <w:szCs w:val="24"/>
        </w:rPr>
        <w:t>比折光指数增量</w:t>
      </w:r>
      <m:oMath>
        <m:r>
          <m:rPr/>
          <w:rPr>
            <w:rFonts w:hint="eastAsia" w:ascii="Cambria Math" w:hAnsi="Cambria Math" w:eastAsiaTheme="minorEastAsia"/>
            <w:szCs w:val="24"/>
          </w:rPr>
          <m:t>dn/dc</m:t>
        </m:r>
      </m:oMath>
      <w:r>
        <w:rPr>
          <w:rFonts w:eastAsiaTheme="minorEastAsia"/>
          <w:szCs w:val="24"/>
        </w:rPr>
        <w:t>值来确定样品的浓度。值得注意的是，在分子量计算中，</w:t>
      </w:r>
      <m:oMath>
        <m:r>
          <m:rPr/>
          <w:rPr>
            <w:rFonts w:hint="eastAsia" w:ascii="Cambria Math" w:hAnsi="Cambria Math" w:eastAsiaTheme="minorEastAsia"/>
            <w:szCs w:val="24"/>
          </w:rPr>
          <m:t>dn/dc</m:t>
        </m:r>
      </m:oMath>
      <w:r>
        <w:rPr>
          <w:rFonts w:eastAsiaTheme="minorEastAsia"/>
          <w:szCs w:val="24"/>
        </w:rPr>
        <w:t>值同样是必需的。因此，了解</w:t>
      </w:r>
      <m:oMath>
        <m:r>
          <m:rPr/>
          <w:rPr>
            <w:rFonts w:hint="eastAsia" w:ascii="Cambria Math" w:hAnsi="Cambria Math" w:eastAsiaTheme="minorEastAsia"/>
            <w:szCs w:val="24"/>
          </w:rPr>
          <m:t>dn/dc</m:t>
        </m:r>
      </m:oMath>
      <w:r>
        <w:rPr>
          <w:rFonts w:eastAsiaTheme="minorEastAsia"/>
          <w:szCs w:val="24"/>
        </w:rPr>
        <w:t>值是不可或缺的，而消光系数的要求则取决于所使用的检测器，有时可能不需要消光系数。</w:t>
      </w:r>
      <w:r>
        <w:rPr>
          <w:rStyle w:val="69"/>
          <w:rFonts w:hint="eastAsia" w:ascii="Times New Roman" w:hAnsi="Times New Roman" w:cs="Times New Roman" w:eastAsiaTheme="minorEastAsia"/>
          <w:sz w:val="24"/>
          <w:szCs w:val="24"/>
        </w:rPr>
        <w:t>不同样品参考参数具体参照附表C.1</w:t>
      </w:r>
      <w:r>
        <w:rPr>
          <w:rFonts w:hint="eastAsia"/>
          <w:spacing w:val="2"/>
          <w:szCs w:val="42"/>
        </w:rPr>
        <w:t>。</w:t>
      </w:r>
    </w:p>
    <w:p w14:paraId="4A2EC465">
      <w:pPr>
        <w:pStyle w:val="9"/>
        <w:jc w:val="center"/>
        <w:rPr>
          <w:rFonts w:ascii="黑体" w:eastAsia="黑体"/>
          <w:kern w:val="0"/>
          <w:sz w:val="21"/>
          <w:szCs w:val="21"/>
        </w:rPr>
      </w:pPr>
      <w:r>
        <w:rPr>
          <w:rFonts w:hint="eastAsia" w:ascii="黑体" w:eastAsia="黑体"/>
          <w:kern w:val="0"/>
          <w:sz w:val="21"/>
          <w:szCs w:val="21"/>
        </w:rPr>
        <w:t>附表C.1</w:t>
      </w:r>
      <w:r>
        <w:rPr>
          <w:rFonts w:ascii="黑体" w:eastAsia="黑体"/>
          <w:kern w:val="0"/>
          <w:sz w:val="21"/>
          <w:szCs w:val="21"/>
        </w:rPr>
        <w:t xml:space="preserve"> </w:t>
      </w:r>
      <w:r>
        <w:rPr>
          <w:rFonts w:hint="eastAsia" w:ascii="黑体" w:eastAsia="黑体"/>
          <w:kern w:val="0"/>
          <w:sz w:val="21"/>
          <w:szCs w:val="21"/>
        </w:rPr>
        <w:t>样品参数参考表</w:t>
      </w: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3250"/>
        <w:gridCol w:w="3101"/>
      </w:tblGrid>
      <w:tr w14:paraId="3DFDA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375" w:type="dxa"/>
            <w:vAlign w:val="center"/>
          </w:tcPr>
          <w:p w14:paraId="7F313CDA">
            <w:pPr>
              <w:autoSpaceDE w:val="0"/>
              <w:autoSpaceDN w:val="0"/>
              <w:adjustRightInd w:val="0"/>
              <w:snapToGrid w:val="0"/>
              <w:jc w:val="center"/>
            </w:pPr>
            <w:r>
              <w:rPr>
                <w:rFonts w:hint="eastAsia"/>
              </w:rPr>
              <w:t>样品</w:t>
            </w:r>
          </w:p>
        </w:tc>
        <w:tc>
          <w:tcPr>
            <w:tcW w:w="3250" w:type="dxa"/>
            <w:vAlign w:val="center"/>
          </w:tcPr>
          <w:p w14:paraId="1EF87DC5">
            <w:pPr>
              <w:autoSpaceDE w:val="0"/>
              <w:autoSpaceDN w:val="0"/>
              <w:adjustRightInd w:val="0"/>
              <w:snapToGrid w:val="0"/>
              <w:jc w:val="center"/>
              <w:rPr>
                <w:spacing w:val="2"/>
                <w:kern w:val="0"/>
              </w:rPr>
            </w:pPr>
            <m:oMath>
              <m:r>
                <m:rPr/>
                <w:rPr>
                  <w:rFonts w:hint="eastAsia" w:ascii="Cambria Math" w:hAnsi="Cambria Math" w:eastAsiaTheme="minorEastAsia"/>
                  <w:szCs w:val="24"/>
                </w:rPr>
                <m:t>dn/dc</m:t>
              </m:r>
            </m:oMath>
            <w:r>
              <w:rPr>
                <w:rFonts w:hint="eastAsia"/>
                <w:szCs w:val="24"/>
              </w:rPr>
              <w:t>（mL·g</w:t>
            </w:r>
            <w:r>
              <w:rPr>
                <w:rFonts w:hint="eastAsia"/>
                <w:szCs w:val="24"/>
                <w:vertAlign w:val="superscript"/>
              </w:rPr>
              <w:t>-1</w:t>
            </w:r>
            <w:r>
              <w:rPr>
                <w:rFonts w:hint="eastAsia"/>
                <w:szCs w:val="24"/>
              </w:rPr>
              <w:t>）</w:t>
            </w:r>
          </w:p>
        </w:tc>
        <w:tc>
          <w:tcPr>
            <w:tcW w:w="3101" w:type="dxa"/>
          </w:tcPr>
          <w:p w14:paraId="359A9882">
            <w:pPr>
              <w:autoSpaceDE w:val="0"/>
              <w:autoSpaceDN w:val="0"/>
              <w:adjustRightInd w:val="0"/>
              <w:snapToGrid w:val="0"/>
              <w:jc w:val="center"/>
              <w:rPr>
                <w:szCs w:val="24"/>
              </w:rPr>
            </w:pPr>
            <m:oMath>
              <m:r>
                <m:rPr/>
                <w:rPr>
                  <w:rFonts w:ascii="Cambria Math" w:hAnsi="Cambria Math" w:eastAsiaTheme="minorEastAsia"/>
                  <w:szCs w:val="24"/>
                </w:rPr>
                <m:t>ε</m:t>
              </m:r>
            </m:oMath>
            <w:r>
              <w:rPr>
                <w:rFonts w:hint="eastAsia"/>
                <w:szCs w:val="24"/>
              </w:rPr>
              <w:t>（L·g</w:t>
            </w:r>
            <w:r>
              <w:rPr>
                <w:rFonts w:hint="eastAsia"/>
                <w:szCs w:val="24"/>
                <w:vertAlign w:val="superscript"/>
              </w:rPr>
              <w:t>-1</w:t>
            </w:r>
            <w:r>
              <w:rPr>
                <w:rFonts w:hint="eastAsia"/>
                <w:szCs w:val="24"/>
              </w:rPr>
              <w:t>·cm</w:t>
            </w:r>
            <w:r>
              <w:rPr>
                <w:rFonts w:hint="eastAsia"/>
                <w:szCs w:val="24"/>
                <w:vertAlign w:val="superscript"/>
              </w:rPr>
              <w:t>-1</w:t>
            </w:r>
            <w:r>
              <w:rPr>
                <w:rFonts w:hint="eastAsia"/>
                <w:szCs w:val="24"/>
              </w:rPr>
              <w:t>）</w:t>
            </w:r>
          </w:p>
        </w:tc>
      </w:tr>
      <w:tr w14:paraId="445F5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375" w:type="dxa"/>
            <w:vAlign w:val="center"/>
          </w:tcPr>
          <w:p w14:paraId="478BC2AA">
            <w:pPr>
              <w:autoSpaceDE w:val="0"/>
              <w:autoSpaceDN w:val="0"/>
              <w:adjustRightInd w:val="0"/>
              <w:snapToGrid w:val="0"/>
              <w:jc w:val="center"/>
              <w:rPr>
                <w:spacing w:val="2"/>
                <w:kern w:val="0"/>
              </w:rPr>
            </w:pPr>
            <w:r>
              <w:rPr>
                <w:rFonts w:hint="eastAsia"/>
                <w:spacing w:val="2"/>
                <w:kern w:val="0"/>
              </w:rPr>
              <w:t>聚苯乙烯</w:t>
            </w:r>
          </w:p>
        </w:tc>
        <w:tc>
          <w:tcPr>
            <w:tcW w:w="3250" w:type="dxa"/>
            <w:vAlign w:val="center"/>
          </w:tcPr>
          <w:p w14:paraId="57B7E1D4">
            <w:pPr>
              <w:autoSpaceDE w:val="0"/>
              <w:autoSpaceDN w:val="0"/>
              <w:adjustRightInd w:val="0"/>
              <w:snapToGrid w:val="0"/>
              <w:jc w:val="center"/>
              <w:rPr>
                <w:spacing w:val="2"/>
                <w:kern w:val="0"/>
              </w:rPr>
            </w:pPr>
            <w:r>
              <w:rPr>
                <w:rFonts w:hint="eastAsia"/>
                <w:spacing w:val="2"/>
                <w:kern w:val="0"/>
              </w:rPr>
              <w:t>0.185（THF，25℃）</w:t>
            </w:r>
          </w:p>
        </w:tc>
        <w:tc>
          <w:tcPr>
            <w:tcW w:w="3101" w:type="dxa"/>
          </w:tcPr>
          <w:p w14:paraId="61424B26">
            <w:pPr>
              <w:autoSpaceDE w:val="0"/>
              <w:autoSpaceDN w:val="0"/>
              <w:adjustRightInd w:val="0"/>
              <w:snapToGrid w:val="0"/>
              <w:jc w:val="center"/>
              <w:rPr>
                <w:spacing w:val="2"/>
                <w:kern w:val="0"/>
              </w:rPr>
            </w:pPr>
            <w:r>
              <w:rPr>
                <w:rFonts w:hint="eastAsia"/>
                <w:spacing w:val="2"/>
                <w:kern w:val="0"/>
              </w:rPr>
              <w:t>0.17</w:t>
            </w:r>
          </w:p>
        </w:tc>
      </w:tr>
      <w:tr w14:paraId="065ED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375" w:type="dxa"/>
            <w:vAlign w:val="center"/>
          </w:tcPr>
          <w:p w14:paraId="18599D7C">
            <w:pPr>
              <w:autoSpaceDE w:val="0"/>
              <w:autoSpaceDN w:val="0"/>
              <w:adjustRightInd w:val="0"/>
              <w:snapToGrid w:val="0"/>
              <w:jc w:val="center"/>
              <w:rPr>
                <w:spacing w:val="2"/>
                <w:kern w:val="0"/>
              </w:rPr>
            </w:pPr>
            <w:r>
              <w:rPr>
                <w:rFonts w:hint="eastAsia"/>
                <w:spacing w:val="2"/>
                <w:kern w:val="0"/>
              </w:rPr>
              <w:t>牛血清白蛋白</w:t>
            </w:r>
          </w:p>
        </w:tc>
        <w:tc>
          <w:tcPr>
            <w:tcW w:w="3250" w:type="dxa"/>
            <w:vAlign w:val="center"/>
          </w:tcPr>
          <w:p w14:paraId="40FB5E56">
            <w:pPr>
              <w:autoSpaceDE w:val="0"/>
              <w:autoSpaceDN w:val="0"/>
              <w:adjustRightInd w:val="0"/>
              <w:snapToGrid w:val="0"/>
              <w:jc w:val="center"/>
              <w:rPr>
                <w:spacing w:val="2"/>
                <w:kern w:val="0"/>
              </w:rPr>
            </w:pPr>
            <w:r>
              <w:rPr>
                <w:rFonts w:hint="eastAsia"/>
                <w:spacing w:val="2"/>
                <w:kern w:val="0"/>
              </w:rPr>
              <w:t>0.185（水，25℃）</w:t>
            </w:r>
          </w:p>
        </w:tc>
        <w:tc>
          <w:tcPr>
            <w:tcW w:w="3101" w:type="dxa"/>
          </w:tcPr>
          <w:p w14:paraId="79D81518">
            <w:pPr>
              <w:autoSpaceDE w:val="0"/>
              <w:autoSpaceDN w:val="0"/>
              <w:adjustRightInd w:val="0"/>
              <w:snapToGrid w:val="0"/>
              <w:jc w:val="center"/>
              <w:rPr>
                <w:spacing w:val="2"/>
                <w:kern w:val="0"/>
              </w:rPr>
            </w:pPr>
            <w:r>
              <w:rPr>
                <w:rFonts w:hint="eastAsia"/>
                <w:spacing w:val="2"/>
                <w:kern w:val="0"/>
              </w:rPr>
              <w:t>0.18</w:t>
            </w:r>
          </w:p>
        </w:tc>
      </w:tr>
      <w:tr w14:paraId="70FCB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375" w:type="dxa"/>
            <w:vAlign w:val="center"/>
          </w:tcPr>
          <w:p w14:paraId="68CE6084">
            <w:pPr>
              <w:autoSpaceDE w:val="0"/>
              <w:autoSpaceDN w:val="0"/>
              <w:adjustRightInd w:val="0"/>
              <w:snapToGrid w:val="0"/>
              <w:jc w:val="center"/>
              <w:rPr>
                <w:spacing w:val="2"/>
                <w:kern w:val="0"/>
              </w:rPr>
            </w:pPr>
            <w:r>
              <w:rPr>
                <w:rFonts w:hint="eastAsia"/>
                <w:spacing w:val="2"/>
                <w:kern w:val="0"/>
              </w:rPr>
              <w:t>聚苯乙烯磺酸钠</w:t>
            </w:r>
          </w:p>
        </w:tc>
        <w:tc>
          <w:tcPr>
            <w:tcW w:w="3250" w:type="dxa"/>
            <w:vAlign w:val="center"/>
          </w:tcPr>
          <w:p w14:paraId="5059A3BC">
            <w:pPr>
              <w:autoSpaceDE w:val="0"/>
              <w:autoSpaceDN w:val="0"/>
              <w:adjustRightInd w:val="0"/>
              <w:snapToGrid w:val="0"/>
              <w:jc w:val="center"/>
              <w:rPr>
                <w:spacing w:val="2"/>
                <w:kern w:val="0"/>
              </w:rPr>
            </w:pPr>
            <w:r>
              <w:rPr>
                <w:rFonts w:hint="eastAsia"/>
                <w:spacing w:val="2"/>
                <w:kern w:val="0"/>
              </w:rPr>
              <w:t>0.17（水，25℃）</w:t>
            </w:r>
          </w:p>
        </w:tc>
        <w:tc>
          <w:tcPr>
            <w:tcW w:w="3101" w:type="dxa"/>
          </w:tcPr>
          <w:p w14:paraId="19EB3FD6">
            <w:pPr>
              <w:autoSpaceDE w:val="0"/>
              <w:autoSpaceDN w:val="0"/>
              <w:adjustRightInd w:val="0"/>
              <w:snapToGrid w:val="0"/>
              <w:jc w:val="center"/>
              <w:rPr>
                <w:spacing w:val="2"/>
                <w:kern w:val="0"/>
              </w:rPr>
            </w:pPr>
            <w:r>
              <w:rPr>
                <w:rFonts w:hint="eastAsia"/>
                <w:spacing w:val="2"/>
                <w:kern w:val="0"/>
              </w:rPr>
              <w:t>0.20</w:t>
            </w:r>
          </w:p>
        </w:tc>
      </w:tr>
    </w:tbl>
    <w:p w14:paraId="284B6039">
      <w:pPr>
        <w:widowControl/>
        <w:ind w:firstLine="480" w:firstLineChars="200"/>
        <w:rPr>
          <w:rStyle w:val="69"/>
          <w:rFonts w:ascii="Times New Roman" w:hAnsi="Times New Roman" w:cs="Times New Roman" w:eastAsiaTheme="minorEastAsia"/>
          <w:sz w:val="24"/>
          <w:szCs w:val="24"/>
        </w:rPr>
      </w:pPr>
      <w:r>
        <w:rPr>
          <w:rStyle w:val="69"/>
          <w:rFonts w:hint="eastAsia" w:ascii="Times New Roman" w:hAnsi="Times New Roman" w:cs="Times New Roman" w:eastAsiaTheme="minorEastAsia"/>
          <w:sz w:val="24"/>
          <w:szCs w:val="24"/>
        </w:rPr>
        <w:t>配制时，使用电子天平称取溶质与溶剂</w:t>
      </w:r>
    </w:p>
    <w:p w14:paraId="130FBC5F">
      <w:pPr>
        <w:widowControl/>
        <w:spacing w:line="240" w:lineRule="auto"/>
        <w:jc w:val="left"/>
        <w:rPr>
          <w:rStyle w:val="69"/>
          <w:rFonts w:ascii="Times New Roman" w:hAnsi="Times New Roman" w:cs="Times New Roman" w:eastAsiaTheme="minorEastAsia"/>
          <w:sz w:val="24"/>
          <w:szCs w:val="24"/>
        </w:rPr>
      </w:pPr>
      <w:r>
        <w:rPr>
          <w:rStyle w:val="69"/>
          <w:rFonts w:ascii="Times New Roman" w:hAnsi="Times New Roman" w:cs="Times New Roman" w:eastAsiaTheme="minorEastAsia"/>
          <w:sz w:val="24"/>
          <w:szCs w:val="24"/>
        </w:rPr>
        <w:br w:type="page"/>
      </w:r>
    </w:p>
    <w:p w14:paraId="5093F456">
      <w:pPr>
        <w:pStyle w:val="2"/>
        <w:rPr>
          <w:rFonts w:ascii="黑体" w:hAnsi="黑体" w:eastAsia="黑体"/>
        </w:rPr>
      </w:pPr>
      <w:bookmarkStart w:id="52" w:name="_Toc208913170"/>
      <w:r>
        <w:rPr>
          <w:rFonts w:ascii="黑体" w:hAnsi="黑体" w:eastAsia="黑体"/>
        </w:rPr>
        <w:t>附录</w:t>
      </w:r>
      <w:r>
        <w:rPr>
          <w:rFonts w:hint="eastAsia" w:ascii="黑体" w:hAnsi="黑体" w:eastAsia="黑体"/>
        </w:rPr>
        <w:t>D</w:t>
      </w:r>
      <w:bookmarkEnd w:id="52"/>
    </w:p>
    <w:p w14:paraId="7EE91290">
      <w:pPr>
        <w:jc w:val="center"/>
        <w:rPr>
          <w:rFonts w:ascii="黑体" w:hAnsi="黑体" w:eastAsia="黑体"/>
          <w:sz w:val="28"/>
          <w:szCs w:val="24"/>
        </w:rPr>
      </w:pPr>
      <w:r>
        <w:rPr>
          <w:rFonts w:hint="eastAsia" w:ascii="黑体" w:hAnsi="黑体" w:eastAsia="黑体"/>
          <w:sz w:val="28"/>
          <w:szCs w:val="24"/>
        </w:rPr>
        <w:t>静态光散射测量实心小球回转半径</w:t>
      </w:r>
    </w:p>
    <w:p w14:paraId="07B4D4CD">
      <w:pPr>
        <w:widowControl/>
        <w:ind w:firstLine="480" w:firstLineChars="200"/>
        <w:rPr>
          <w:rStyle w:val="69"/>
          <w:rFonts w:ascii="Times New Roman" w:hAnsi="Times New Roman" w:cs="Times New Roman" w:eastAsiaTheme="minorEastAsia"/>
          <w:sz w:val="24"/>
          <w:szCs w:val="24"/>
        </w:rPr>
      </w:pPr>
      <w:r>
        <w:rPr>
          <w:rFonts w:eastAsiaTheme="minorEastAsia"/>
          <w:szCs w:val="24"/>
        </w:rPr>
        <w:t>静态光散射（SLS）通过测量不同角度下的散射光强，并在小角度区域将散射</w:t>
      </w:r>
      <w:r>
        <w:rPr>
          <w:rFonts w:hint="eastAsia" w:eastAsiaTheme="minorEastAsia"/>
          <w:szCs w:val="24"/>
        </w:rPr>
        <w:t>光</w:t>
      </w:r>
      <w:r>
        <w:rPr>
          <w:rFonts w:eastAsiaTheme="minorEastAsia"/>
          <w:szCs w:val="24"/>
        </w:rPr>
        <w:t>强拟合</w:t>
      </w:r>
      <w:r>
        <w:rPr>
          <w:rFonts w:hint="eastAsia" w:eastAsiaTheme="minorEastAsia"/>
          <w:szCs w:val="24"/>
        </w:rPr>
        <w:t>至</w:t>
      </w:r>
      <w:r>
        <w:rPr>
          <w:rFonts w:eastAsiaTheme="minorEastAsia"/>
          <w:szCs w:val="24"/>
        </w:rPr>
        <w:t>零，由拟合斜率计算</w:t>
      </w:r>
      <w:r>
        <w:rPr>
          <w:rFonts w:hint="eastAsia" w:eastAsiaTheme="minorEastAsia"/>
          <w:szCs w:val="24"/>
        </w:rPr>
        <w:t>从而得到</w:t>
      </w:r>
      <w:r>
        <w:rPr>
          <w:rFonts w:eastAsiaTheme="minorEastAsia"/>
          <w:szCs w:val="24"/>
        </w:rPr>
        <w:t>回转半径</w:t>
      </w:r>
      <m:oMath>
        <m:r>
          <m:rPr/>
          <w:rPr>
            <w:rFonts w:hint="eastAsia" w:ascii="Cambria Math" w:hAnsi="Cambria Math" w:eastAsiaTheme="minorEastAsia"/>
            <w:szCs w:val="24"/>
          </w:rPr>
          <m:t>Rg</m:t>
        </m:r>
      </m:oMath>
      <w:r>
        <w:rPr>
          <w:rFonts w:eastAsiaTheme="minorEastAsia"/>
          <w:szCs w:val="24"/>
        </w:rPr>
        <w:t>​。</w:t>
      </w:r>
      <w:bookmarkStart w:id="53" w:name="_Hlk208933416"/>
      <w:r>
        <w:rPr>
          <w:rFonts w:eastAsiaTheme="minorEastAsia"/>
          <w:szCs w:val="24"/>
        </w:rPr>
        <w:t>回转半径</w:t>
      </w:r>
      <w:r>
        <w:rPr>
          <w:rFonts w:hint="eastAsia" w:eastAsiaTheme="minorEastAsia"/>
          <w:szCs w:val="24"/>
        </w:rPr>
        <w:t>与</w:t>
      </w:r>
      <w:r>
        <w:rPr>
          <w:rFonts w:eastAsiaTheme="minorEastAsia"/>
          <w:szCs w:val="24"/>
        </w:rPr>
        <w:t>几何意义上的外半径</w:t>
      </w:r>
      <w:r>
        <w:rPr>
          <w:rFonts w:hint="eastAsia" w:eastAsiaTheme="minorEastAsia"/>
          <w:szCs w:val="24"/>
        </w:rPr>
        <w:t>不同</w:t>
      </w:r>
      <w:r>
        <w:rPr>
          <w:rFonts w:eastAsiaTheme="minorEastAsia"/>
          <w:szCs w:val="24"/>
        </w:rPr>
        <w:t>，反映</w:t>
      </w:r>
      <w:r>
        <w:rPr>
          <w:rFonts w:hint="eastAsia" w:eastAsiaTheme="minorEastAsia"/>
          <w:szCs w:val="24"/>
        </w:rPr>
        <w:t>的是</w:t>
      </w:r>
      <w:r>
        <w:rPr>
          <w:rFonts w:eastAsiaTheme="minorEastAsia"/>
          <w:szCs w:val="24"/>
        </w:rPr>
        <w:t>粒子质量分布的均方根距离，定义为所有质量单元相对于质心的均方根。</w:t>
      </w:r>
      <w:bookmarkEnd w:id="53"/>
      <w:bookmarkStart w:id="54" w:name="_Hlk208933474"/>
      <w:r>
        <w:rPr>
          <w:rFonts w:eastAsiaTheme="minorEastAsia"/>
          <w:szCs w:val="24"/>
        </w:rPr>
        <w:t>对于均匀实心球，推导可得其回转半径与物理半径的关系为</w:t>
      </w:r>
      <w:bookmarkStart w:id="55" w:name="_Hlk208933534"/>
      <m:oMath>
        <m:r>
          <m:rPr/>
          <w:rPr>
            <w:rFonts w:hint="eastAsia" w:ascii="Cambria Math" w:hAnsi="Cambria Math" w:eastAsiaTheme="minorEastAsia"/>
            <w:szCs w:val="24"/>
          </w:rPr>
          <m:t>Rg</m:t>
        </m:r>
        <m:r>
          <m:rPr/>
          <w:rPr>
            <w:rFonts w:ascii="Cambria Math" w:hAnsi="Cambria Math" w:eastAsiaTheme="minorEastAsia"/>
            <w:szCs w:val="24"/>
          </w:rPr>
          <m:t>=</m:t>
        </m:r>
        <m:rad>
          <m:radPr>
            <m:degHide m:val="1"/>
            <m:ctrlPr>
              <w:rPr>
                <w:rFonts w:ascii="Cambria Math" w:hAnsi="Cambria Math" w:eastAsiaTheme="minorEastAsia"/>
                <w:i/>
                <w:szCs w:val="24"/>
              </w:rPr>
            </m:ctrlPr>
          </m:radPr>
          <m:deg>
            <m:ctrlPr>
              <w:rPr>
                <w:rFonts w:ascii="Cambria Math" w:hAnsi="Cambria Math" w:eastAsiaTheme="minorEastAsia"/>
                <w:i/>
                <w:szCs w:val="24"/>
              </w:rPr>
            </m:ctrlPr>
          </m:deg>
          <m:e>
            <m:r>
              <m:rPr/>
              <w:rPr>
                <w:rFonts w:ascii="Cambria Math" w:hAnsi="Cambria Math" w:eastAsiaTheme="minorEastAsia"/>
                <w:szCs w:val="24"/>
              </w:rPr>
              <m:t>3/5</m:t>
            </m:r>
            <m:ctrlPr>
              <w:rPr>
                <w:rFonts w:ascii="Cambria Math" w:hAnsi="Cambria Math" w:eastAsiaTheme="minorEastAsia"/>
                <w:i/>
                <w:szCs w:val="24"/>
              </w:rPr>
            </m:ctrlPr>
          </m:e>
        </m:rad>
        <m:r>
          <m:rPr/>
          <w:rPr>
            <w:rFonts w:hint="eastAsia" w:ascii="Cambria Math" w:hAnsi="Cambria Math" w:eastAsiaTheme="minorEastAsia"/>
            <w:szCs w:val="24"/>
          </w:rPr>
          <m:t>R</m:t>
        </m:r>
      </m:oMath>
      <w:bookmarkEnd w:id="55"/>
      <w:r>
        <w:rPr>
          <w:rFonts w:hint="eastAsia" w:eastAsiaTheme="minorEastAsia"/>
          <w:szCs w:val="24"/>
        </w:rPr>
        <w:t>，其中</w:t>
      </w:r>
      <m:oMath>
        <m:r>
          <m:rPr/>
          <w:rPr>
            <w:rFonts w:hint="eastAsia" w:ascii="Cambria Math" w:hAnsi="Cambria Math" w:eastAsiaTheme="minorEastAsia"/>
            <w:szCs w:val="24"/>
          </w:rPr>
          <m:t>R</m:t>
        </m:r>
      </m:oMath>
      <w:r>
        <w:rPr>
          <w:rFonts w:hint="eastAsia" w:eastAsiaTheme="minorEastAsia"/>
          <w:szCs w:val="24"/>
        </w:rPr>
        <w:t>为实心小球的几何半径。在使用粒度标准物质时，回转半径</w:t>
      </w:r>
      <m:oMath>
        <m:r>
          <m:rPr/>
          <w:rPr>
            <w:rFonts w:hint="eastAsia" w:ascii="Cambria Math" w:hAnsi="Cambria Math" w:eastAsiaTheme="minorEastAsia"/>
            <w:szCs w:val="24"/>
          </w:rPr>
          <m:t>Rg</m:t>
        </m:r>
      </m:oMath>
      <w:r>
        <w:rPr>
          <w:rFonts w:hint="eastAsia" w:eastAsiaTheme="minorEastAsia"/>
          <w:szCs w:val="24"/>
        </w:rPr>
        <w:t>应为几何尺寸标准值乘以</w:t>
      </w:r>
      <m:oMath>
        <m:rad>
          <m:radPr>
            <m:degHide m:val="1"/>
            <m:ctrlPr>
              <w:rPr>
                <w:rFonts w:ascii="Cambria Math" w:hAnsi="Cambria Math" w:eastAsiaTheme="minorEastAsia"/>
                <w:i/>
                <w:szCs w:val="24"/>
              </w:rPr>
            </m:ctrlPr>
          </m:radPr>
          <m:deg>
            <m:ctrlPr>
              <w:rPr>
                <w:rFonts w:ascii="Cambria Math" w:hAnsi="Cambria Math" w:eastAsiaTheme="minorEastAsia"/>
                <w:i/>
                <w:szCs w:val="24"/>
              </w:rPr>
            </m:ctrlPr>
          </m:deg>
          <m:e>
            <m:r>
              <m:rPr/>
              <w:rPr>
                <w:rFonts w:ascii="Cambria Math" w:hAnsi="Cambria Math" w:eastAsiaTheme="minorEastAsia"/>
                <w:szCs w:val="24"/>
              </w:rPr>
              <m:t>3/5</m:t>
            </m:r>
            <m:ctrlPr>
              <w:rPr>
                <w:rFonts w:ascii="Cambria Math" w:hAnsi="Cambria Math" w:eastAsiaTheme="minorEastAsia"/>
                <w:i/>
                <w:szCs w:val="24"/>
              </w:rPr>
            </m:ctrlPr>
          </m:e>
        </m:rad>
      </m:oMath>
      <w:r>
        <w:rPr>
          <w:rFonts w:hint="eastAsia" w:eastAsiaTheme="minorEastAsia"/>
          <w:szCs w:val="24"/>
        </w:rPr>
        <w:t>。</w:t>
      </w:r>
      <w:bookmarkEnd w:id="54"/>
    </w:p>
    <w:p w14:paraId="104CBF59">
      <w:pPr>
        <w:widowControl/>
        <w:spacing w:line="240" w:lineRule="auto"/>
        <w:jc w:val="left"/>
        <w:rPr>
          <w:rStyle w:val="69"/>
          <w:rFonts w:ascii="Times New Roman" w:hAnsi="Times New Roman" w:cs="Times New Roman" w:eastAsiaTheme="minorEastAsia"/>
          <w:sz w:val="24"/>
          <w:szCs w:val="24"/>
        </w:rPr>
      </w:pPr>
      <w:r>
        <w:rPr>
          <w:rStyle w:val="69"/>
          <w:rFonts w:ascii="Times New Roman" w:hAnsi="Times New Roman" w:cs="Times New Roman" w:eastAsiaTheme="minorEastAsia"/>
          <w:sz w:val="24"/>
          <w:szCs w:val="24"/>
        </w:rPr>
        <w:br w:type="page"/>
      </w:r>
    </w:p>
    <w:p w14:paraId="1083B0F5">
      <w:pPr>
        <w:pStyle w:val="2"/>
        <w:rPr>
          <w:rFonts w:ascii="黑体" w:hAnsi="黑体" w:eastAsia="黑体"/>
        </w:rPr>
      </w:pPr>
      <w:bookmarkStart w:id="56" w:name="_Toc208913171"/>
      <w:r>
        <w:rPr>
          <w:rFonts w:ascii="黑体" w:hAnsi="黑体" w:eastAsia="黑体"/>
        </w:rPr>
        <w:t>附录</w:t>
      </w:r>
      <w:r>
        <w:rPr>
          <w:rFonts w:hint="eastAsia" w:ascii="黑体" w:hAnsi="黑体" w:eastAsia="黑体"/>
        </w:rPr>
        <w:t>E</w:t>
      </w:r>
      <w:bookmarkEnd w:id="56"/>
    </w:p>
    <w:p w14:paraId="048F76C7">
      <w:pPr>
        <w:jc w:val="center"/>
        <w:rPr>
          <w:rFonts w:eastAsia="黑体"/>
          <w:sz w:val="28"/>
        </w:rPr>
      </w:pPr>
      <w:r>
        <w:rPr>
          <w:rFonts w:hint="eastAsia" w:eastAsia="黑体"/>
          <w:sz w:val="28"/>
        </w:rPr>
        <w:t>非对称流动场场流仪校准记录参考格式</w:t>
      </w:r>
    </w:p>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14"/>
        <w:gridCol w:w="2835"/>
        <w:gridCol w:w="1276"/>
        <w:gridCol w:w="1609"/>
      </w:tblGrid>
      <w:tr w14:paraId="4107E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398F2173">
            <w:pPr>
              <w:rPr>
                <w:sz w:val="21"/>
                <w:szCs w:val="21"/>
              </w:rPr>
            </w:pPr>
            <w:r>
              <w:rPr>
                <w:rFonts w:hint="eastAsia"/>
                <w:sz w:val="21"/>
                <w:szCs w:val="21"/>
              </w:rPr>
              <w:t>仪器名称</w:t>
            </w:r>
          </w:p>
        </w:tc>
        <w:tc>
          <w:tcPr>
            <w:tcW w:w="2835" w:type="dxa"/>
          </w:tcPr>
          <w:p w14:paraId="4302FE03">
            <w:pPr>
              <w:rPr>
                <w:sz w:val="21"/>
                <w:szCs w:val="21"/>
              </w:rPr>
            </w:pPr>
          </w:p>
        </w:tc>
        <w:tc>
          <w:tcPr>
            <w:tcW w:w="1276" w:type="dxa"/>
          </w:tcPr>
          <w:p w14:paraId="64D78CA2">
            <w:pPr>
              <w:rPr>
                <w:sz w:val="21"/>
                <w:szCs w:val="21"/>
              </w:rPr>
            </w:pPr>
            <w:r>
              <w:rPr>
                <w:rFonts w:hint="eastAsia"/>
                <w:sz w:val="21"/>
                <w:szCs w:val="21"/>
              </w:rPr>
              <w:t>型号</w:t>
            </w:r>
          </w:p>
        </w:tc>
        <w:tc>
          <w:tcPr>
            <w:tcW w:w="1609" w:type="dxa"/>
          </w:tcPr>
          <w:p w14:paraId="3C3B10FF">
            <w:pPr>
              <w:rPr>
                <w:sz w:val="21"/>
                <w:szCs w:val="21"/>
              </w:rPr>
            </w:pPr>
          </w:p>
        </w:tc>
      </w:tr>
      <w:tr w14:paraId="19D1E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664CB937">
            <w:pPr>
              <w:rPr>
                <w:sz w:val="21"/>
                <w:szCs w:val="21"/>
              </w:rPr>
            </w:pPr>
            <w:r>
              <w:rPr>
                <w:rFonts w:hint="eastAsia"/>
                <w:sz w:val="21"/>
                <w:szCs w:val="21"/>
              </w:rPr>
              <w:t>出厂编号</w:t>
            </w:r>
          </w:p>
        </w:tc>
        <w:tc>
          <w:tcPr>
            <w:tcW w:w="2835" w:type="dxa"/>
          </w:tcPr>
          <w:p w14:paraId="286A5A02">
            <w:pPr>
              <w:rPr>
                <w:sz w:val="21"/>
                <w:szCs w:val="21"/>
              </w:rPr>
            </w:pPr>
          </w:p>
        </w:tc>
        <w:tc>
          <w:tcPr>
            <w:tcW w:w="1276" w:type="dxa"/>
          </w:tcPr>
          <w:p w14:paraId="130BCF34">
            <w:pPr>
              <w:rPr>
                <w:sz w:val="21"/>
                <w:szCs w:val="21"/>
              </w:rPr>
            </w:pPr>
            <w:r>
              <w:rPr>
                <w:rFonts w:hint="eastAsia"/>
                <w:sz w:val="21"/>
                <w:szCs w:val="21"/>
              </w:rPr>
              <w:t>制造厂</w:t>
            </w:r>
          </w:p>
        </w:tc>
        <w:tc>
          <w:tcPr>
            <w:tcW w:w="1609" w:type="dxa"/>
          </w:tcPr>
          <w:p w14:paraId="4718B483">
            <w:pPr>
              <w:rPr>
                <w:sz w:val="21"/>
                <w:szCs w:val="21"/>
              </w:rPr>
            </w:pPr>
          </w:p>
        </w:tc>
      </w:tr>
      <w:tr w14:paraId="6C964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25D99517">
            <w:pPr>
              <w:rPr>
                <w:sz w:val="21"/>
                <w:szCs w:val="21"/>
              </w:rPr>
            </w:pPr>
            <w:r>
              <w:rPr>
                <w:rFonts w:hint="eastAsia"/>
                <w:sz w:val="21"/>
                <w:szCs w:val="21"/>
              </w:rPr>
              <w:t>光散射检测器</w:t>
            </w:r>
          </w:p>
        </w:tc>
        <w:tc>
          <w:tcPr>
            <w:tcW w:w="2835" w:type="dxa"/>
          </w:tcPr>
          <w:p w14:paraId="27394AF4">
            <w:pPr>
              <w:rPr>
                <w:sz w:val="21"/>
                <w:szCs w:val="21"/>
              </w:rPr>
            </w:pPr>
          </w:p>
        </w:tc>
        <w:tc>
          <w:tcPr>
            <w:tcW w:w="1276" w:type="dxa"/>
          </w:tcPr>
          <w:p w14:paraId="5BFD43F0">
            <w:pPr>
              <w:rPr>
                <w:sz w:val="21"/>
                <w:szCs w:val="21"/>
              </w:rPr>
            </w:pPr>
            <w:r>
              <w:rPr>
                <w:rFonts w:hint="eastAsia"/>
                <w:sz w:val="21"/>
                <w:szCs w:val="21"/>
              </w:rPr>
              <w:t>波长</w:t>
            </w:r>
          </w:p>
        </w:tc>
        <w:tc>
          <w:tcPr>
            <w:tcW w:w="1609" w:type="dxa"/>
          </w:tcPr>
          <w:p w14:paraId="1E242B1A">
            <w:pPr>
              <w:rPr>
                <w:sz w:val="21"/>
                <w:szCs w:val="21"/>
              </w:rPr>
            </w:pPr>
          </w:p>
        </w:tc>
      </w:tr>
      <w:tr w14:paraId="1A6F0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5B451AE3">
            <w:pPr>
              <w:rPr>
                <w:sz w:val="21"/>
                <w:szCs w:val="21"/>
              </w:rPr>
            </w:pPr>
            <w:r>
              <w:rPr>
                <w:rFonts w:hint="eastAsia"/>
                <w:sz w:val="21"/>
                <w:szCs w:val="21"/>
              </w:rPr>
              <w:t>紫外（二极管阵列）检测器</w:t>
            </w:r>
          </w:p>
        </w:tc>
        <w:tc>
          <w:tcPr>
            <w:tcW w:w="2835" w:type="dxa"/>
          </w:tcPr>
          <w:p w14:paraId="05255434">
            <w:pPr>
              <w:rPr>
                <w:sz w:val="21"/>
                <w:szCs w:val="21"/>
              </w:rPr>
            </w:pPr>
          </w:p>
        </w:tc>
        <w:tc>
          <w:tcPr>
            <w:tcW w:w="1276" w:type="dxa"/>
          </w:tcPr>
          <w:p w14:paraId="041C0B49">
            <w:pPr>
              <w:rPr>
                <w:sz w:val="21"/>
                <w:szCs w:val="21"/>
              </w:rPr>
            </w:pPr>
            <w:r>
              <w:rPr>
                <w:rFonts w:hint="eastAsia"/>
                <w:sz w:val="21"/>
                <w:szCs w:val="21"/>
              </w:rPr>
              <w:t>波长</w:t>
            </w:r>
          </w:p>
        </w:tc>
        <w:tc>
          <w:tcPr>
            <w:tcW w:w="1609" w:type="dxa"/>
          </w:tcPr>
          <w:p w14:paraId="42E9B26E">
            <w:pPr>
              <w:rPr>
                <w:sz w:val="21"/>
                <w:szCs w:val="21"/>
              </w:rPr>
            </w:pPr>
          </w:p>
        </w:tc>
      </w:tr>
      <w:tr w14:paraId="7640C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3085FF91">
            <w:pPr>
              <w:rPr>
                <w:sz w:val="21"/>
                <w:szCs w:val="21"/>
              </w:rPr>
            </w:pPr>
            <w:r>
              <w:rPr>
                <w:rFonts w:hint="eastAsia"/>
                <w:sz w:val="21"/>
                <w:szCs w:val="21"/>
              </w:rPr>
              <w:t>示差折光检测器</w:t>
            </w:r>
          </w:p>
        </w:tc>
        <w:tc>
          <w:tcPr>
            <w:tcW w:w="2835" w:type="dxa"/>
          </w:tcPr>
          <w:p w14:paraId="1FAA2C5A">
            <w:pPr>
              <w:rPr>
                <w:sz w:val="21"/>
                <w:szCs w:val="21"/>
              </w:rPr>
            </w:pPr>
          </w:p>
        </w:tc>
        <w:tc>
          <w:tcPr>
            <w:tcW w:w="1276" w:type="dxa"/>
          </w:tcPr>
          <w:p w14:paraId="5E7447E5">
            <w:pPr>
              <w:rPr>
                <w:sz w:val="21"/>
                <w:szCs w:val="21"/>
              </w:rPr>
            </w:pPr>
            <w:r>
              <w:rPr>
                <w:rFonts w:hint="eastAsia"/>
                <w:sz w:val="21"/>
                <w:szCs w:val="21"/>
              </w:rPr>
              <w:t>波长</w:t>
            </w:r>
          </w:p>
        </w:tc>
        <w:tc>
          <w:tcPr>
            <w:tcW w:w="1609" w:type="dxa"/>
          </w:tcPr>
          <w:p w14:paraId="2DF6F5CF">
            <w:pPr>
              <w:rPr>
                <w:sz w:val="21"/>
                <w:szCs w:val="21"/>
              </w:rPr>
            </w:pPr>
          </w:p>
        </w:tc>
      </w:tr>
      <w:tr w14:paraId="1859E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2D84637C">
            <w:pPr>
              <w:rPr>
                <w:sz w:val="21"/>
                <w:szCs w:val="21"/>
              </w:rPr>
            </w:pPr>
            <w:r>
              <w:rPr>
                <w:rFonts w:hint="eastAsia"/>
                <w:sz w:val="21"/>
                <w:szCs w:val="21"/>
              </w:rPr>
              <w:t>委托单位</w:t>
            </w:r>
          </w:p>
        </w:tc>
        <w:tc>
          <w:tcPr>
            <w:tcW w:w="2835" w:type="dxa"/>
          </w:tcPr>
          <w:p w14:paraId="4AE9594C">
            <w:pPr>
              <w:rPr>
                <w:sz w:val="21"/>
                <w:szCs w:val="21"/>
              </w:rPr>
            </w:pPr>
          </w:p>
        </w:tc>
        <w:tc>
          <w:tcPr>
            <w:tcW w:w="1276" w:type="dxa"/>
          </w:tcPr>
          <w:p w14:paraId="75139CDC">
            <w:pPr>
              <w:rPr>
                <w:sz w:val="21"/>
                <w:szCs w:val="21"/>
              </w:rPr>
            </w:pPr>
          </w:p>
        </w:tc>
        <w:tc>
          <w:tcPr>
            <w:tcW w:w="1609" w:type="dxa"/>
          </w:tcPr>
          <w:p w14:paraId="0C75A57A">
            <w:pPr>
              <w:rPr>
                <w:sz w:val="21"/>
                <w:szCs w:val="21"/>
              </w:rPr>
            </w:pPr>
          </w:p>
        </w:tc>
      </w:tr>
      <w:tr w14:paraId="6835C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4D4AE13A">
            <w:pPr>
              <w:rPr>
                <w:sz w:val="21"/>
                <w:szCs w:val="21"/>
              </w:rPr>
            </w:pPr>
            <w:r>
              <w:rPr>
                <w:rFonts w:hint="eastAsia"/>
                <w:sz w:val="21"/>
                <w:szCs w:val="21"/>
              </w:rPr>
              <w:t>检测器</w:t>
            </w:r>
          </w:p>
        </w:tc>
        <w:tc>
          <w:tcPr>
            <w:tcW w:w="2835" w:type="dxa"/>
          </w:tcPr>
          <w:p w14:paraId="4CAF504D">
            <w:pPr>
              <w:rPr>
                <w:sz w:val="21"/>
                <w:szCs w:val="21"/>
              </w:rPr>
            </w:pPr>
          </w:p>
        </w:tc>
        <w:tc>
          <w:tcPr>
            <w:tcW w:w="1276" w:type="dxa"/>
          </w:tcPr>
          <w:p w14:paraId="7CA878D4">
            <w:pPr>
              <w:rPr>
                <w:sz w:val="21"/>
                <w:szCs w:val="21"/>
              </w:rPr>
            </w:pPr>
          </w:p>
        </w:tc>
        <w:tc>
          <w:tcPr>
            <w:tcW w:w="1609" w:type="dxa"/>
          </w:tcPr>
          <w:p w14:paraId="66305B91">
            <w:pPr>
              <w:rPr>
                <w:sz w:val="21"/>
                <w:szCs w:val="21"/>
              </w:rPr>
            </w:pPr>
          </w:p>
        </w:tc>
      </w:tr>
      <w:tr w14:paraId="4FA0C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1AEAE50D">
            <w:pPr>
              <w:rPr>
                <w:sz w:val="21"/>
                <w:szCs w:val="21"/>
              </w:rPr>
            </w:pPr>
            <w:r>
              <w:rPr>
                <w:rFonts w:hint="eastAsia"/>
                <w:sz w:val="21"/>
                <w:szCs w:val="21"/>
              </w:rPr>
              <w:t>相对湿度</w:t>
            </w:r>
          </w:p>
        </w:tc>
        <w:tc>
          <w:tcPr>
            <w:tcW w:w="2835" w:type="dxa"/>
          </w:tcPr>
          <w:p w14:paraId="4061EBA7">
            <w:pPr>
              <w:rPr>
                <w:sz w:val="21"/>
                <w:szCs w:val="21"/>
              </w:rPr>
            </w:pPr>
          </w:p>
        </w:tc>
        <w:tc>
          <w:tcPr>
            <w:tcW w:w="1276" w:type="dxa"/>
          </w:tcPr>
          <w:p w14:paraId="079A4DE6">
            <w:pPr>
              <w:rPr>
                <w:sz w:val="21"/>
                <w:szCs w:val="21"/>
              </w:rPr>
            </w:pPr>
            <w:r>
              <w:rPr>
                <w:rFonts w:hint="eastAsia"/>
                <w:sz w:val="21"/>
                <w:szCs w:val="21"/>
              </w:rPr>
              <w:t>环境温度</w:t>
            </w:r>
          </w:p>
        </w:tc>
        <w:tc>
          <w:tcPr>
            <w:tcW w:w="1609" w:type="dxa"/>
          </w:tcPr>
          <w:p w14:paraId="45AB1711">
            <w:pPr>
              <w:rPr>
                <w:sz w:val="21"/>
                <w:szCs w:val="21"/>
              </w:rPr>
            </w:pPr>
          </w:p>
        </w:tc>
      </w:tr>
      <w:tr w14:paraId="34813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018B91F3">
            <w:pPr>
              <w:rPr>
                <w:sz w:val="21"/>
                <w:szCs w:val="21"/>
              </w:rPr>
            </w:pPr>
            <w:r>
              <w:rPr>
                <w:rFonts w:hint="eastAsia"/>
                <w:sz w:val="21"/>
                <w:szCs w:val="21"/>
              </w:rPr>
              <w:t>校准依据</w:t>
            </w:r>
          </w:p>
        </w:tc>
        <w:tc>
          <w:tcPr>
            <w:tcW w:w="2835" w:type="dxa"/>
          </w:tcPr>
          <w:p w14:paraId="626ACCC6">
            <w:pPr>
              <w:rPr>
                <w:sz w:val="21"/>
                <w:szCs w:val="21"/>
              </w:rPr>
            </w:pPr>
          </w:p>
        </w:tc>
        <w:tc>
          <w:tcPr>
            <w:tcW w:w="1276" w:type="dxa"/>
          </w:tcPr>
          <w:p w14:paraId="363EBC4C">
            <w:pPr>
              <w:rPr>
                <w:sz w:val="21"/>
                <w:szCs w:val="21"/>
              </w:rPr>
            </w:pPr>
            <w:r>
              <w:rPr>
                <w:rFonts w:hint="eastAsia"/>
                <w:sz w:val="21"/>
                <w:szCs w:val="21"/>
              </w:rPr>
              <w:t>校准日期</w:t>
            </w:r>
          </w:p>
        </w:tc>
        <w:tc>
          <w:tcPr>
            <w:tcW w:w="1609" w:type="dxa"/>
          </w:tcPr>
          <w:p w14:paraId="1FCA71EC">
            <w:pPr>
              <w:rPr>
                <w:sz w:val="21"/>
                <w:szCs w:val="21"/>
              </w:rPr>
            </w:pPr>
          </w:p>
        </w:tc>
      </w:tr>
      <w:tr w14:paraId="268B9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7DBC4559">
            <w:pPr>
              <w:rPr>
                <w:sz w:val="21"/>
                <w:szCs w:val="21"/>
              </w:rPr>
            </w:pPr>
            <w:r>
              <w:rPr>
                <w:rFonts w:hint="eastAsia"/>
                <w:sz w:val="21"/>
                <w:szCs w:val="21"/>
              </w:rPr>
              <w:t>校准员</w:t>
            </w:r>
          </w:p>
        </w:tc>
        <w:tc>
          <w:tcPr>
            <w:tcW w:w="2835" w:type="dxa"/>
          </w:tcPr>
          <w:p w14:paraId="3ABD504F">
            <w:pPr>
              <w:rPr>
                <w:sz w:val="21"/>
                <w:szCs w:val="21"/>
              </w:rPr>
            </w:pPr>
          </w:p>
        </w:tc>
        <w:tc>
          <w:tcPr>
            <w:tcW w:w="1276" w:type="dxa"/>
          </w:tcPr>
          <w:p w14:paraId="0BBEAC9C">
            <w:pPr>
              <w:rPr>
                <w:sz w:val="21"/>
                <w:szCs w:val="21"/>
              </w:rPr>
            </w:pPr>
            <w:r>
              <w:rPr>
                <w:rFonts w:hint="eastAsia"/>
                <w:sz w:val="21"/>
                <w:szCs w:val="21"/>
              </w:rPr>
              <w:t>核验员</w:t>
            </w:r>
          </w:p>
        </w:tc>
        <w:tc>
          <w:tcPr>
            <w:tcW w:w="1609" w:type="dxa"/>
          </w:tcPr>
          <w:p w14:paraId="2CF0A235">
            <w:pPr>
              <w:rPr>
                <w:sz w:val="21"/>
                <w:szCs w:val="21"/>
              </w:rPr>
            </w:pPr>
          </w:p>
        </w:tc>
      </w:tr>
    </w:tbl>
    <w:p w14:paraId="65C85EBA">
      <w:pPr>
        <w:rPr>
          <w:rFonts w:ascii="黑体" w:hAnsi="黑体" w:eastAsia="黑体"/>
          <w:b/>
          <w:bCs/>
          <w:szCs w:val="24"/>
        </w:rPr>
      </w:pPr>
    </w:p>
    <w:tbl>
      <w:tblPr>
        <w:tblStyle w:val="27"/>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48"/>
        <w:gridCol w:w="1393"/>
        <w:gridCol w:w="2934"/>
        <w:gridCol w:w="1393"/>
        <w:gridCol w:w="1392"/>
      </w:tblGrid>
      <w:tr w14:paraId="70B98A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075" w:type="pct"/>
            <w:vAlign w:val="center"/>
          </w:tcPr>
          <w:p w14:paraId="7326A689">
            <w:pPr>
              <w:jc w:val="center"/>
              <w:rPr>
                <w:sz w:val="21"/>
                <w:szCs w:val="18"/>
              </w:rPr>
            </w:pPr>
            <w:r>
              <w:rPr>
                <w:rFonts w:hint="eastAsia"/>
                <w:sz w:val="21"/>
                <w:szCs w:val="18"/>
              </w:rPr>
              <w:t>使用的主要</w:t>
            </w:r>
          </w:p>
          <w:p w14:paraId="52E6F091">
            <w:pPr>
              <w:jc w:val="center"/>
              <w:rPr>
                <w:sz w:val="21"/>
                <w:szCs w:val="18"/>
              </w:rPr>
            </w:pPr>
            <w:r>
              <w:rPr>
                <w:rFonts w:hint="eastAsia"/>
                <w:sz w:val="21"/>
                <w:szCs w:val="18"/>
              </w:rPr>
              <w:t>计量标准器具</w:t>
            </w:r>
          </w:p>
        </w:tc>
        <w:tc>
          <w:tcPr>
            <w:tcW w:w="769" w:type="pct"/>
            <w:vAlign w:val="center"/>
          </w:tcPr>
          <w:p w14:paraId="00A7D334">
            <w:pPr>
              <w:jc w:val="center"/>
              <w:rPr>
                <w:sz w:val="21"/>
                <w:szCs w:val="18"/>
              </w:rPr>
            </w:pPr>
            <w:r>
              <w:rPr>
                <w:rFonts w:hint="eastAsia"/>
                <w:sz w:val="21"/>
                <w:szCs w:val="18"/>
              </w:rPr>
              <w:t>测量范围</w:t>
            </w:r>
          </w:p>
        </w:tc>
        <w:tc>
          <w:tcPr>
            <w:tcW w:w="1619" w:type="pct"/>
            <w:vAlign w:val="center"/>
          </w:tcPr>
          <w:p w14:paraId="281037CF">
            <w:pPr>
              <w:jc w:val="center"/>
              <w:rPr>
                <w:sz w:val="21"/>
                <w:szCs w:val="18"/>
              </w:rPr>
            </w:pPr>
            <w:r>
              <w:rPr>
                <w:rFonts w:hint="eastAsia"/>
                <w:sz w:val="21"/>
                <w:szCs w:val="18"/>
              </w:rPr>
              <w:t>不确定度/准确度等级/</w:t>
            </w:r>
          </w:p>
          <w:p w14:paraId="415E3447">
            <w:pPr>
              <w:jc w:val="center"/>
              <w:rPr>
                <w:sz w:val="21"/>
                <w:szCs w:val="18"/>
              </w:rPr>
            </w:pPr>
            <w:r>
              <w:rPr>
                <w:rFonts w:hint="eastAsia"/>
                <w:sz w:val="21"/>
                <w:szCs w:val="18"/>
              </w:rPr>
              <w:t>最大允许误差</w:t>
            </w:r>
          </w:p>
        </w:tc>
        <w:tc>
          <w:tcPr>
            <w:tcW w:w="769" w:type="pct"/>
            <w:vAlign w:val="center"/>
          </w:tcPr>
          <w:p w14:paraId="56085F16">
            <w:pPr>
              <w:jc w:val="center"/>
              <w:rPr>
                <w:sz w:val="21"/>
                <w:szCs w:val="18"/>
              </w:rPr>
            </w:pPr>
            <w:r>
              <w:rPr>
                <w:rFonts w:hint="eastAsia"/>
                <w:sz w:val="21"/>
                <w:szCs w:val="18"/>
              </w:rPr>
              <w:t>器具编号</w:t>
            </w:r>
          </w:p>
        </w:tc>
        <w:tc>
          <w:tcPr>
            <w:tcW w:w="769" w:type="pct"/>
            <w:vAlign w:val="center"/>
          </w:tcPr>
          <w:p w14:paraId="1A34A563">
            <w:pPr>
              <w:jc w:val="center"/>
              <w:rPr>
                <w:sz w:val="21"/>
                <w:szCs w:val="18"/>
              </w:rPr>
            </w:pPr>
            <w:r>
              <w:rPr>
                <w:rFonts w:hint="eastAsia"/>
                <w:sz w:val="21"/>
                <w:szCs w:val="18"/>
              </w:rPr>
              <w:t>有效期至</w:t>
            </w:r>
          </w:p>
        </w:tc>
      </w:tr>
      <w:tr w14:paraId="51AB9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75" w:type="pct"/>
            <w:vAlign w:val="center"/>
          </w:tcPr>
          <w:p w14:paraId="19165625">
            <w:pPr>
              <w:jc w:val="center"/>
              <w:rPr>
                <w:sz w:val="21"/>
                <w:szCs w:val="18"/>
              </w:rPr>
            </w:pPr>
          </w:p>
        </w:tc>
        <w:tc>
          <w:tcPr>
            <w:tcW w:w="769" w:type="pct"/>
            <w:vAlign w:val="center"/>
          </w:tcPr>
          <w:p w14:paraId="08F38683">
            <w:pPr>
              <w:jc w:val="center"/>
              <w:rPr>
                <w:sz w:val="21"/>
                <w:szCs w:val="18"/>
              </w:rPr>
            </w:pPr>
          </w:p>
        </w:tc>
        <w:tc>
          <w:tcPr>
            <w:tcW w:w="1619" w:type="pct"/>
            <w:vAlign w:val="center"/>
          </w:tcPr>
          <w:p w14:paraId="017C047E">
            <w:pPr>
              <w:jc w:val="center"/>
              <w:rPr>
                <w:sz w:val="21"/>
                <w:szCs w:val="18"/>
              </w:rPr>
            </w:pPr>
          </w:p>
        </w:tc>
        <w:tc>
          <w:tcPr>
            <w:tcW w:w="769" w:type="pct"/>
            <w:vAlign w:val="center"/>
          </w:tcPr>
          <w:p w14:paraId="0DC51265">
            <w:pPr>
              <w:jc w:val="center"/>
              <w:rPr>
                <w:sz w:val="21"/>
                <w:szCs w:val="18"/>
              </w:rPr>
            </w:pPr>
          </w:p>
        </w:tc>
        <w:tc>
          <w:tcPr>
            <w:tcW w:w="769" w:type="pct"/>
            <w:vAlign w:val="center"/>
          </w:tcPr>
          <w:p w14:paraId="5C5F5E25">
            <w:pPr>
              <w:jc w:val="center"/>
              <w:rPr>
                <w:sz w:val="21"/>
                <w:szCs w:val="18"/>
              </w:rPr>
            </w:pPr>
          </w:p>
        </w:tc>
      </w:tr>
      <w:tr w14:paraId="1ED4A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75" w:type="pct"/>
            <w:vAlign w:val="center"/>
          </w:tcPr>
          <w:p w14:paraId="6409AE86">
            <w:pPr>
              <w:jc w:val="center"/>
              <w:rPr>
                <w:sz w:val="21"/>
                <w:szCs w:val="18"/>
              </w:rPr>
            </w:pPr>
          </w:p>
        </w:tc>
        <w:tc>
          <w:tcPr>
            <w:tcW w:w="769" w:type="pct"/>
            <w:vAlign w:val="center"/>
          </w:tcPr>
          <w:p w14:paraId="6279476F">
            <w:pPr>
              <w:jc w:val="center"/>
              <w:rPr>
                <w:sz w:val="21"/>
                <w:szCs w:val="18"/>
              </w:rPr>
            </w:pPr>
          </w:p>
        </w:tc>
        <w:tc>
          <w:tcPr>
            <w:tcW w:w="1619" w:type="pct"/>
            <w:vAlign w:val="center"/>
          </w:tcPr>
          <w:p w14:paraId="61B657B8">
            <w:pPr>
              <w:jc w:val="center"/>
              <w:rPr>
                <w:sz w:val="21"/>
                <w:szCs w:val="18"/>
              </w:rPr>
            </w:pPr>
          </w:p>
        </w:tc>
        <w:tc>
          <w:tcPr>
            <w:tcW w:w="769" w:type="pct"/>
            <w:vAlign w:val="center"/>
          </w:tcPr>
          <w:p w14:paraId="2B502B5A">
            <w:pPr>
              <w:jc w:val="center"/>
              <w:rPr>
                <w:sz w:val="21"/>
                <w:szCs w:val="18"/>
              </w:rPr>
            </w:pPr>
          </w:p>
        </w:tc>
        <w:tc>
          <w:tcPr>
            <w:tcW w:w="769" w:type="pct"/>
            <w:vAlign w:val="center"/>
          </w:tcPr>
          <w:p w14:paraId="3D9BD8B0">
            <w:pPr>
              <w:jc w:val="center"/>
              <w:rPr>
                <w:sz w:val="21"/>
                <w:szCs w:val="18"/>
              </w:rPr>
            </w:pPr>
          </w:p>
        </w:tc>
      </w:tr>
      <w:tr w14:paraId="534214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75" w:type="pct"/>
            <w:vAlign w:val="center"/>
          </w:tcPr>
          <w:p w14:paraId="5B6DA040">
            <w:pPr>
              <w:jc w:val="center"/>
              <w:rPr>
                <w:sz w:val="21"/>
                <w:szCs w:val="18"/>
              </w:rPr>
            </w:pPr>
          </w:p>
        </w:tc>
        <w:tc>
          <w:tcPr>
            <w:tcW w:w="769" w:type="pct"/>
            <w:vAlign w:val="center"/>
          </w:tcPr>
          <w:p w14:paraId="17A9A7B8">
            <w:pPr>
              <w:jc w:val="center"/>
              <w:rPr>
                <w:sz w:val="21"/>
                <w:szCs w:val="18"/>
              </w:rPr>
            </w:pPr>
          </w:p>
        </w:tc>
        <w:tc>
          <w:tcPr>
            <w:tcW w:w="1619" w:type="pct"/>
            <w:vAlign w:val="center"/>
          </w:tcPr>
          <w:p w14:paraId="629409F8">
            <w:pPr>
              <w:jc w:val="center"/>
              <w:rPr>
                <w:sz w:val="21"/>
                <w:szCs w:val="18"/>
              </w:rPr>
            </w:pPr>
          </w:p>
        </w:tc>
        <w:tc>
          <w:tcPr>
            <w:tcW w:w="769" w:type="pct"/>
            <w:vAlign w:val="center"/>
          </w:tcPr>
          <w:p w14:paraId="644F5DE9">
            <w:pPr>
              <w:jc w:val="center"/>
              <w:rPr>
                <w:sz w:val="21"/>
                <w:szCs w:val="18"/>
              </w:rPr>
            </w:pPr>
          </w:p>
        </w:tc>
        <w:tc>
          <w:tcPr>
            <w:tcW w:w="769" w:type="pct"/>
            <w:vAlign w:val="center"/>
          </w:tcPr>
          <w:p w14:paraId="53D2A649">
            <w:pPr>
              <w:jc w:val="center"/>
              <w:rPr>
                <w:sz w:val="21"/>
                <w:szCs w:val="18"/>
              </w:rPr>
            </w:pPr>
          </w:p>
        </w:tc>
      </w:tr>
    </w:tbl>
    <w:p w14:paraId="25974207">
      <w:pPr>
        <w:rPr>
          <w:szCs w:val="24"/>
        </w:rPr>
      </w:pPr>
    </w:p>
    <w:p w14:paraId="5A855EB7">
      <w:pPr>
        <w:pStyle w:val="66"/>
        <w:numPr>
          <w:ilvl w:val="0"/>
          <w:numId w:val="3"/>
        </w:numPr>
        <w:ind w:firstLineChars="0"/>
        <w:rPr>
          <w:szCs w:val="24"/>
        </w:rPr>
      </w:pPr>
      <w:r>
        <w:rPr>
          <w:rFonts w:hint="eastAsia"/>
          <w:szCs w:val="24"/>
        </w:rPr>
        <w:t>泵流量稳定性</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13"/>
        <w:gridCol w:w="1883"/>
        <w:gridCol w:w="1883"/>
        <w:gridCol w:w="1881"/>
      </w:tblGrid>
      <w:tr w14:paraId="57CFD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pct"/>
          </w:tcPr>
          <w:p w14:paraId="04ABAFEE">
            <w:pPr>
              <w:rPr>
                <w:sz w:val="21"/>
                <w:szCs w:val="21"/>
              </w:rPr>
            </w:pPr>
            <w:r>
              <w:rPr>
                <w:rFonts w:hint="eastAsia"/>
                <w:sz w:val="21"/>
                <w:szCs w:val="21"/>
              </w:rPr>
              <w:t>测量次数</w:t>
            </w:r>
          </w:p>
        </w:tc>
        <w:tc>
          <w:tcPr>
            <w:tcW w:w="1039" w:type="pct"/>
          </w:tcPr>
          <w:p w14:paraId="4988F834">
            <w:pPr>
              <w:rPr>
                <w:sz w:val="21"/>
                <w:szCs w:val="21"/>
              </w:rPr>
            </w:pPr>
            <w:r>
              <w:rPr>
                <w:rFonts w:hint="eastAsia"/>
                <w:sz w:val="21"/>
                <w:szCs w:val="21"/>
              </w:rPr>
              <w:t>1</w:t>
            </w:r>
          </w:p>
        </w:tc>
        <w:tc>
          <w:tcPr>
            <w:tcW w:w="1039" w:type="pct"/>
          </w:tcPr>
          <w:p w14:paraId="26A6CC51">
            <w:pPr>
              <w:rPr>
                <w:sz w:val="21"/>
                <w:szCs w:val="21"/>
              </w:rPr>
            </w:pPr>
            <w:r>
              <w:rPr>
                <w:rFonts w:hint="eastAsia"/>
                <w:sz w:val="21"/>
                <w:szCs w:val="21"/>
              </w:rPr>
              <w:t>2</w:t>
            </w:r>
          </w:p>
        </w:tc>
        <w:tc>
          <w:tcPr>
            <w:tcW w:w="1039" w:type="pct"/>
          </w:tcPr>
          <w:p w14:paraId="67F908B4">
            <w:pPr>
              <w:rPr>
                <w:sz w:val="21"/>
                <w:szCs w:val="21"/>
              </w:rPr>
            </w:pPr>
            <w:r>
              <w:rPr>
                <w:rFonts w:hint="eastAsia"/>
                <w:sz w:val="21"/>
                <w:szCs w:val="21"/>
              </w:rPr>
              <w:t>3</w:t>
            </w:r>
          </w:p>
        </w:tc>
      </w:tr>
      <w:tr w14:paraId="4717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pct"/>
          </w:tcPr>
          <w:p w14:paraId="5B032D6D">
            <w:pPr>
              <w:rPr>
                <w:sz w:val="21"/>
                <w:szCs w:val="21"/>
              </w:rPr>
            </w:pPr>
            <w:r>
              <w:rPr>
                <w:rFonts w:hint="eastAsia"/>
                <w:sz w:val="21"/>
                <w:szCs w:val="21"/>
              </w:rPr>
              <w:t>收集前质量/g</w:t>
            </w:r>
          </w:p>
        </w:tc>
        <w:tc>
          <w:tcPr>
            <w:tcW w:w="1039" w:type="pct"/>
          </w:tcPr>
          <w:p w14:paraId="23F29D1E">
            <w:pPr>
              <w:rPr>
                <w:sz w:val="21"/>
                <w:szCs w:val="21"/>
              </w:rPr>
            </w:pPr>
          </w:p>
        </w:tc>
        <w:tc>
          <w:tcPr>
            <w:tcW w:w="1039" w:type="pct"/>
          </w:tcPr>
          <w:p w14:paraId="2D825EAB">
            <w:pPr>
              <w:rPr>
                <w:sz w:val="21"/>
                <w:szCs w:val="21"/>
              </w:rPr>
            </w:pPr>
          </w:p>
        </w:tc>
        <w:tc>
          <w:tcPr>
            <w:tcW w:w="1039" w:type="pct"/>
          </w:tcPr>
          <w:p w14:paraId="7D7686A2">
            <w:pPr>
              <w:rPr>
                <w:sz w:val="21"/>
                <w:szCs w:val="21"/>
              </w:rPr>
            </w:pPr>
          </w:p>
        </w:tc>
      </w:tr>
      <w:tr w14:paraId="4C588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pct"/>
          </w:tcPr>
          <w:p w14:paraId="79A2F3FA">
            <w:pPr>
              <w:rPr>
                <w:sz w:val="21"/>
                <w:szCs w:val="21"/>
              </w:rPr>
            </w:pPr>
            <w:r>
              <w:rPr>
                <w:rFonts w:hint="eastAsia"/>
                <w:sz w:val="21"/>
                <w:szCs w:val="21"/>
              </w:rPr>
              <w:t>收集后质量/g</w:t>
            </w:r>
          </w:p>
        </w:tc>
        <w:tc>
          <w:tcPr>
            <w:tcW w:w="1039" w:type="pct"/>
          </w:tcPr>
          <w:p w14:paraId="7B76A6DE">
            <w:pPr>
              <w:rPr>
                <w:sz w:val="21"/>
                <w:szCs w:val="21"/>
              </w:rPr>
            </w:pPr>
          </w:p>
        </w:tc>
        <w:tc>
          <w:tcPr>
            <w:tcW w:w="1039" w:type="pct"/>
          </w:tcPr>
          <w:p w14:paraId="11EC85F7">
            <w:pPr>
              <w:rPr>
                <w:sz w:val="21"/>
                <w:szCs w:val="21"/>
              </w:rPr>
            </w:pPr>
          </w:p>
        </w:tc>
        <w:tc>
          <w:tcPr>
            <w:tcW w:w="1039" w:type="pct"/>
          </w:tcPr>
          <w:p w14:paraId="39DC1D30">
            <w:pPr>
              <w:rPr>
                <w:sz w:val="21"/>
                <w:szCs w:val="21"/>
              </w:rPr>
            </w:pPr>
          </w:p>
        </w:tc>
      </w:tr>
      <w:tr w14:paraId="37361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pct"/>
          </w:tcPr>
          <w:p w14:paraId="7B34F0DF">
            <w:pPr>
              <w:rPr>
                <w:sz w:val="21"/>
                <w:szCs w:val="21"/>
              </w:rPr>
            </w:pPr>
            <w:r>
              <w:rPr>
                <w:rFonts w:hint="eastAsia"/>
                <w:sz w:val="21"/>
                <w:szCs w:val="21"/>
              </w:rPr>
              <w:t>泵质量流量/g·min</w:t>
            </w:r>
            <w:r>
              <w:rPr>
                <w:rFonts w:hint="eastAsia"/>
                <w:sz w:val="21"/>
                <w:szCs w:val="21"/>
                <w:vertAlign w:val="superscript"/>
              </w:rPr>
              <w:t>-1</w:t>
            </w:r>
          </w:p>
        </w:tc>
        <w:tc>
          <w:tcPr>
            <w:tcW w:w="1039" w:type="pct"/>
          </w:tcPr>
          <w:p w14:paraId="39098569">
            <w:pPr>
              <w:rPr>
                <w:sz w:val="21"/>
                <w:szCs w:val="21"/>
              </w:rPr>
            </w:pPr>
          </w:p>
        </w:tc>
        <w:tc>
          <w:tcPr>
            <w:tcW w:w="1039" w:type="pct"/>
          </w:tcPr>
          <w:p w14:paraId="3D4FE449">
            <w:pPr>
              <w:rPr>
                <w:sz w:val="21"/>
                <w:szCs w:val="21"/>
              </w:rPr>
            </w:pPr>
          </w:p>
        </w:tc>
        <w:tc>
          <w:tcPr>
            <w:tcW w:w="1039" w:type="pct"/>
          </w:tcPr>
          <w:p w14:paraId="3CF5A7E0">
            <w:pPr>
              <w:rPr>
                <w:sz w:val="21"/>
                <w:szCs w:val="21"/>
              </w:rPr>
            </w:pPr>
          </w:p>
        </w:tc>
      </w:tr>
      <w:tr w14:paraId="55919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pct"/>
          </w:tcPr>
          <w:p w14:paraId="302A5739">
            <w:pPr>
              <w:rPr>
                <w:sz w:val="21"/>
                <w:szCs w:val="21"/>
              </w:rPr>
            </w:pPr>
            <w:r>
              <w:rPr>
                <w:rFonts w:hint="eastAsia"/>
                <w:sz w:val="21"/>
                <w:szCs w:val="21"/>
              </w:rPr>
              <w:t>泵质量流量平均值</w:t>
            </w:r>
          </w:p>
        </w:tc>
        <w:tc>
          <w:tcPr>
            <w:tcW w:w="3116" w:type="pct"/>
            <w:gridSpan w:val="3"/>
          </w:tcPr>
          <w:p w14:paraId="164E514C">
            <w:pPr>
              <w:rPr>
                <w:sz w:val="21"/>
                <w:szCs w:val="21"/>
              </w:rPr>
            </w:pPr>
          </w:p>
        </w:tc>
      </w:tr>
      <w:tr w14:paraId="05B8E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pct"/>
          </w:tcPr>
          <w:p w14:paraId="4CBB5830">
            <w:pPr>
              <w:rPr>
                <w:sz w:val="21"/>
                <w:szCs w:val="21"/>
              </w:rPr>
            </w:pPr>
            <w:r>
              <w:rPr>
                <w:rFonts w:hint="eastAsia"/>
                <w:sz w:val="21"/>
                <w:szCs w:val="21"/>
              </w:rPr>
              <w:t>泵流量稳定性</w:t>
            </w:r>
          </w:p>
        </w:tc>
        <w:tc>
          <w:tcPr>
            <w:tcW w:w="3116" w:type="pct"/>
            <w:gridSpan w:val="3"/>
          </w:tcPr>
          <w:p w14:paraId="3FCBBA5A">
            <w:pPr>
              <w:rPr>
                <w:sz w:val="21"/>
                <w:szCs w:val="21"/>
              </w:rPr>
            </w:pPr>
          </w:p>
        </w:tc>
      </w:tr>
    </w:tbl>
    <w:p w14:paraId="4798BAF0">
      <w:pPr>
        <w:rPr>
          <w:szCs w:val="24"/>
        </w:rPr>
      </w:pPr>
    </w:p>
    <w:p w14:paraId="2026E159">
      <w:pPr>
        <w:pStyle w:val="66"/>
        <w:numPr>
          <w:ilvl w:val="0"/>
          <w:numId w:val="3"/>
        </w:numPr>
        <w:ind w:firstLineChars="0"/>
        <w:rPr>
          <w:szCs w:val="24"/>
        </w:rPr>
      </w:pPr>
      <w:r>
        <w:rPr>
          <w:rFonts w:hint="eastAsia"/>
          <w:szCs w:val="24"/>
        </w:rPr>
        <w:t>检测器极限噪音/基线漂移</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821"/>
        <w:gridCol w:w="821"/>
        <w:gridCol w:w="873"/>
        <w:gridCol w:w="1091"/>
        <w:gridCol w:w="873"/>
        <w:gridCol w:w="1308"/>
        <w:gridCol w:w="873"/>
        <w:gridCol w:w="1092"/>
      </w:tblGrid>
      <w:tr w14:paraId="78D28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 w:type="pct"/>
          </w:tcPr>
          <w:p w14:paraId="5A82BC13">
            <w:pPr>
              <w:rPr>
                <w:szCs w:val="24"/>
              </w:rPr>
            </w:pPr>
          </w:p>
        </w:tc>
        <w:tc>
          <w:tcPr>
            <w:tcW w:w="1990" w:type="pct"/>
            <w:gridSpan w:val="4"/>
          </w:tcPr>
          <w:p w14:paraId="54C174B8">
            <w:pPr>
              <w:jc w:val="center"/>
              <w:rPr>
                <w:szCs w:val="24"/>
              </w:rPr>
            </w:pPr>
            <w:r>
              <w:rPr>
                <w:rFonts w:hint="eastAsia"/>
                <w:szCs w:val="24"/>
              </w:rPr>
              <w:t>极限噪音</w:t>
            </w:r>
          </w:p>
        </w:tc>
        <w:tc>
          <w:tcPr>
            <w:tcW w:w="2288" w:type="pct"/>
            <w:gridSpan w:val="4"/>
          </w:tcPr>
          <w:p w14:paraId="16E20B27">
            <w:pPr>
              <w:jc w:val="center"/>
              <w:rPr>
                <w:szCs w:val="24"/>
              </w:rPr>
            </w:pPr>
            <w:r>
              <w:rPr>
                <w:rFonts w:hint="eastAsia"/>
                <w:szCs w:val="24"/>
              </w:rPr>
              <w:t>基线漂移</w:t>
            </w:r>
          </w:p>
        </w:tc>
      </w:tr>
      <w:tr w14:paraId="4BD67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 w:type="pct"/>
          </w:tcPr>
          <w:p w14:paraId="262FD5B2">
            <w:pPr>
              <w:jc w:val="center"/>
              <w:rPr>
                <w:sz w:val="21"/>
                <w:szCs w:val="21"/>
              </w:rPr>
            </w:pPr>
            <w:r>
              <w:rPr>
                <w:rFonts w:hint="eastAsia"/>
                <w:sz w:val="21"/>
                <w:szCs w:val="21"/>
              </w:rPr>
              <w:t>检测器类型</w:t>
            </w:r>
          </w:p>
        </w:tc>
        <w:tc>
          <w:tcPr>
            <w:tcW w:w="453" w:type="pct"/>
          </w:tcPr>
          <w:p w14:paraId="1425D96B">
            <w:pPr>
              <w:rPr>
                <w:sz w:val="21"/>
                <w:szCs w:val="21"/>
              </w:rPr>
            </w:pPr>
            <w:r>
              <w:rPr>
                <w:rFonts w:hint="eastAsia"/>
                <w:sz w:val="21"/>
                <w:szCs w:val="21"/>
              </w:rPr>
              <w:t>峰值1</w:t>
            </w:r>
          </w:p>
        </w:tc>
        <w:tc>
          <w:tcPr>
            <w:tcW w:w="453" w:type="pct"/>
          </w:tcPr>
          <w:p w14:paraId="0B12A9DA">
            <w:pPr>
              <w:jc w:val="center"/>
              <w:rPr>
                <w:sz w:val="21"/>
                <w:szCs w:val="21"/>
              </w:rPr>
            </w:pPr>
            <w:r>
              <w:rPr>
                <w:rFonts w:hint="eastAsia"/>
                <w:sz w:val="21"/>
                <w:szCs w:val="21"/>
              </w:rPr>
              <w:t>峰值2</w:t>
            </w:r>
          </w:p>
        </w:tc>
        <w:tc>
          <w:tcPr>
            <w:tcW w:w="482" w:type="pct"/>
          </w:tcPr>
          <w:p w14:paraId="660ACAB6">
            <w:pPr>
              <w:jc w:val="center"/>
              <w:rPr>
                <w:sz w:val="21"/>
                <w:szCs w:val="21"/>
              </w:rPr>
            </w:pPr>
            <w:r>
              <w:rPr>
                <w:rFonts w:hint="eastAsia"/>
                <w:sz w:val="21"/>
                <w:szCs w:val="21"/>
              </w:rPr>
              <w:t>满量程</w:t>
            </w:r>
          </w:p>
        </w:tc>
        <w:tc>
          <w:tcPr>
            <w:tcW w:w="602" w:type="pct"/>
          </w:tcPr>
          <w:p w14:paraId="470FA300">
            <w:pPr>
              <w:jc w:val="center"/>
              <w:rPr>
                <w:sz w:val="21"/>
                <w:szCs w:val="21"/>
              </w:rPr>
            </w:pPr>
            <w:r>
              <w:rPr>
                <w:rFonts w:hint="eastAsia"/>
                <w:sz w:val="21"/>
                <w:szCs w:val="21"/>
              </w:rPr>
              <w:t>基线噪音</w:t>
            </w:r>
          </w:p>
        </w:tc>
        <w:tc>
          <w:tcPr>
            <w:tcW w:w="482" w:type="pct"/>
          </w:tcPr>
          <w:p w14:paraId="3DED0CA5">
            <w:pPr>
              <w:jc w:val="center"/>
              <w:rPr>
                <w:sz w:val="21"/>
                <w:szCs w:val="21"/>
              </w:rPr>
            </w:pPr>
            <w:r>
              <w:rPr>
                <w:rFonts w:hint="eastAsia"/>
                <w:sz w:val="21"/>
                <w:szCs w:val="21"/>
              </w:rPr>
              <w:t>起始点</w:t>
            </w:r>
          </w:p>
        </w:tc>
        <w:tc>
          <w:tcPr>
            <w:tcW w:w="722" w:type="pct"/>
          </w:tcPr>
          <w:p w14:paraId="4A0AE105">
            <w:pPr>
              <w:jc w:val="center"/>
              <w:rPr>
                <w:sz w:val="21"/>
                <w:szCs w:val="21"/>
              </w:rPr>
            </w:pPr>
            <w:r>
              <w:rPr>
                <w:rFonts w:hint="eastAsia"/>
                <w:sz w:val="21"/>
                <w:szCs w:val="21"/>
              </w:rPr>
              <w:t>最大差值点</w:t>
            </w:r>
          </w:p>
        </w:tc>
        <w:tc>
          <w:tcPr>
            <w:tcW w:w="482" w:type="pct"/>
          </w:tcPr>
          <w:p w14:paraId="1E6756CF">
            <w:pPr>
              <w:jc w:val="center"/>
              <w:rPr>
                <w:sz w:val="21"/>
                <w:szCs w:val="21"/>
              </w:rPr>
            </w:pPr>
            <w:r>
              <w:rPr>
                <w:rFonts w:hint="eastAsia"/>
                <w:sz w:val="21"/>
                <w:szCs w:val="21"/>
              </w:rPr>
              <w:t>满量程</w:t>
            </w:r>
          </w:p>
        </w:tc>
        <w:tc>
          <w:tcPr>
            <w:tcW w:w="602" w:type="pct"/>
          </w:tcPr>
          <w:p w14:paraId="7D79FC71">
            <w:pPr>
              <w:jc w:val="center"/>
              <w:rPr>
                <w:sz w:val="21"/>
                <w:szCs w:val="21"/>
              </w:rPr>
            </w:pPr>
            <w:r>
              <w:rPr>
                <w:rFonts w:hint="eastAsia"/>
                <w:sz w:val="21"/>
                <w:szCs w:val="21"/>
              </w:rPr>
              <w:t>基线漂移</w:t>
            </w:r>
          </w:p>
        </w:tc>
      </w:tr>
      <w:tr w14:paraId="78518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 w:type="pct"/>
          </w:tcPr>
          <w:p w14:paraId="7CF5CD5C">
            <w:pPr>
              <w:jc w:val="center"/>
              <w:rPr>
                <w:sz w:val="21"/>
                <w:szCs w:val="21"/>
              </w:rPr>
            </w:pPr>
            <w:r>
              <w:rPr>
                <w:rFonts w:hint="eastAsia"/>
                <w:sz w:val="21"/>
                <w:szCs w:val="21"/>
              </w:rPr>
              <w:t>示差</w:t>
            </w:r>
          </w:p>
        </w:tc>
        <w:tc>
          <w:tcPr>
            <w:tcW w:w="453" w:type="pct"/>
          </w:tcPr>
          <w:p w14:paraId="7CD43476">
            <w:pPr>
              <w:rPr>
                <w:sz w:val="21"/>
                <w:szCs w:val="21"/>
              </w:rPr>
            </w:pPr>
          </w:p>
        </w:tc>
        <w:tc>
          <w:tcPr>
            <w:tcW w:w="453" w:type="pct"/>
          </w:tcPr>
          <w:p w14:paraId="73ED7E63">
            <w:pPr>
              <w:jc w:val="center"/>
              <w:rPr>
                <w:sz w:val="21"/>
                <w:szCs w:val="21"/>
              </w:rPr>
            </w:pPr>
          </w:p>
        </w:tc>
        <w:tc>
          <w:tcPr>
            <w:tcW w:w="482" w:type="pct"/>
          </w:tcPr>
          <w:p w14:paraId="79168EFA">
            <w:pPr>
              <w:jc w:val="center"/>
              <w:rPr>
                <w:sz w:val="21"/>
                <w:szCs w:val="21"/>
              </w:rPr>
            </w:pPr>
          </w:p>
        </w:tc>
        <w:tc>
          <w:tcPr>
            <w:tcW w:w="602" w:type="pct"/>
          </w:tcPr>
          <w:p w14:paraId="71780620">
            <w:pPr>
              <w:jc w:val="center"/>
              <w:rPr>
                <w:sz w:val="21"/>
                <w:szCs w:val="21"/>
              </w:rPr>
            </w:pPr>
          </w:p>
        </w:tc>
        <w:tc>
          <w:tcPr>
            <w:tcW w:w="482" w:type="pct"/>
          </w:tcPr>
          <w:p w14:paraId="248FFCD4">
            <w:pPr>
              <w:jc w:val="center"/>
              <w:rPr>
                <w:sz w:val="21"/>
                <w:szCs w:val="21"/>
              </w:rPr>
            </w:pPr>
          </w:p>
        </w:tc>
        <w:tc>
          <w:tcPr>
            <w:tcW w:w="722" w:type="pct"/>
          </w:tcPr>
          <w:p w14:paraId="42E30697">
            <w:pPr>
              <w:jc w:val="center"/>
              <w:rPr>
                <w:sz w:val="21"/>
                <w:szCs w:val="21"/>
              </w:rPr>
            </w:pPr>
          </w:p>
        </w:tc>
        <w:tc>
          <w:tcPr>
            <w:tcW w:w="482" w:type="pct"/>
          </w:tcPr>
          <w:p w14:paraId="1A80A3D4">
            <w:pPr>
              <w:jc w:val="center"/>
              <w:rPr>
                <w:sz w:val="21"/>
                <w:szCs w:val="21"/>
              </w:rPr>
            </w:pPr>
          </w:p>
        </w:tc>
        <w:tc>
          <w:tcPr>
            <w:tcW w:w="602" w:type="pct"/>
          </w:tcPr>
          <w:p w14:paraId="5419AEBE">
            <w:pPr>
              <w:jc w:val="center"/>
              <w:rPr>
                <w:sz w:val="21"/>
                <w:szCs w:val="21"/>
              </w:rPr>
            </w:pPr>
          </w:p>
        </w:tc>
      </w:tr>
      <w:tr w14:paraId="7C434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 w:type="pct"/>
          </w:tcPr>
          <w:p w14:paraId="6AD139E5">
            <w:pPr>
              <w:jc w:val="center"/>
              <w:rPr>
                <w:sz w:val="21"/>
                <w:szCs w:val="21"/>
              </w:rPr>
            </w:pPr>
            <w:r>
              <w:rPr>
                <w:rFonts w:hint="eastAsia"/>
                <w:sz w:val="21"/>
                <w:szCs w:val="21"/>
              </w:rPr>
              <w:t>紫外</w:t>
            </w:r>
          </w:p>
        </w:tc>
        <w:tc>
          <w:tcPr>
            <w:tcW w:w="453" w:type="pct"/>
          </w:tcPr>
          <w:p w14:paraId="77A6F71B">
            <w:pPr>
              <w:rPr>
                <w:sz w:val="21"/>
                <w:szCs w:val="21"/>
              </w:rPr>
            </w:pPr>
          </w:p>
        </w:tc>
        <w:tc>
          <w:tcPr>
            <w:tcW w:w="453" w:type="pct"/>
          </w:tcPr>
          <w:p w14:paraId="5B62BCD2">
            <w:pPr>
              <w:jc w:val="center"/>
              <w:rPr>
                <w:sz w:val="21"/>
                <w:szCs w:val="21"/>
              </w:rPr>
            </w:pPr>
          </w:p>
        </w:tc>
        <w:tc>
          <w:tcPr>
            <w:tcW w:w="482" w:type="pct"/>
          </w:tcPr>
          <w:p w14:paraId="75F2A16C">
            <w:pPr>
              <w:jc w:val="center"/>
              <w:rPr>
                <w:sz w:val="21"/>
                <w:szCs w:val="21"/>
              </w:rPr>
            </w:pPr>
          </w:p>
        </w:tc>
        <w:tc>
          <w:tcPr>
            <w:tcW w:w="602" w:type="pct"/>
          </w:tcPr>
          <w:p w14:paraId="7827A3F7">
            <w:pPr>
              <w:jc w:val="center"/>
              <w:rPr>
                <w:sz w:val="21"/>
                <w:szCs w:val="21"/>
              </w:rPr>
            </w:pPr>
          </w:p>
        </w:tc>
        <w:tc>
          <w:tcPr>
            <w:tcW w:w="482" w:type="pct"/>
          </w:tcPr>
          <w:p w14:paraId="23CA4520">
            <w:pPr>
              <w:jc w:val="center"/>
              <w:rPr>
                <w:sz w:val="21"/>
                <w:szCs w:val="21"/>
              </w:rPr>
            </w:pPr>
          </w:p>
        </w:tc>
        <w:tc>
          <w:tcPr>
            <w:tcW w:w="722" w:type="pct"/>
          </w:tcPr>
          <w:p w14:paraId="21CAA2FC">
            <w:pPr>
              <w:jc w:val="center"/>
              <w:rPr>
                <w:sz w:val="21"/>
                <w:szCs w:val="21"/>
              </w:rPr>
            </w:pPr>
          </w:p>
        </w:tc>
        <w:tc>
          <w:tcPr>
            <w:tcW w:w="482" w:type="pct"/>
          </w:tcPr>
          <w:p w14:paraId="75DB6686">
            <w:pPr>
              <w:jc w:val="center"/>
              <w:rPr>
                <w:sz w:val="21"/>
                <w:szCs w:val="21"/>
              </w:rPr>
            </w:pPr>
          </w:p>
        </w:tc>
        <w:tc>
          <w:tcPr>
            <w:tcW w:w="602" w:type="pct"/>
          </w:tcPr>
          <w:p w14:paraId="7CF91FBB">
            <w:pPr>
              <w:jc w:val="center"/>
              <w:rPr>
                <w:sz w:val="21"/>
                <w:szCs w:val="21"/>
              </w:rPr>
            </w:pPr>
          </w:p>
        </w:tc>
      </w:tr>
      <w:tr w14:paraId="6F1BB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 w:type="pct"/>
          </w:tcPr>
          <w:p w14:paraId="3D454ADB">
            <w:pPr>
              <w:jc w:val="center"/>
              <w:rPr>
                <w:sz w:val="21"/>
                <w:szCs w:val="21"/>
              </w:rPr>
            </w:pPr>
            <w:r>
              <w:rPr>
                <w:rFonts w:hint="eastAsia"/>
                <w:sz w:val="21"/>
                <w:szCs w:val="21"/>
              </w:rPr>
              <w:t>光散射</w:t>
            </w:r>
          </w:p>
        </w:tc>
        <w:tc>
          <w:tcPr>
            <w:tcW w:w="453" w:type="pct"/>
          </w:tcPr>
          <w:p w14:paraId="26559B56">
            <w:pPr>
              <w:rPr>
                <w:sz w:val="21"/>
                <w:szCs w:val="21"/>
              </w:rPr>
            </w:pPr>
          </w:p>
        </w:tc>
        <w:tc>
          <w:tcPr>
            <w:tcW w:w="453" w:type="pct"/>
          </w:tcPr>
          <w:p w14:paraId="3D34FBAC">
            <w:pPr>
              <w:rPr>
                <w:sz w:val="21"/>
                <w:szCs w:val="21"/>
              </w:rPr>
            </w:pPr>
          </w:p>
        </w:tc>
        <w:tc>
          <w:tcPr>
            <w:tcW w:w="482" w:type="pct"/>
          </w:tcPr>
          <w:p w14:paraId="34A7CFA0">
            <w:pPr>
              <w:rPr>
                <w:sz w:val="21"/>
                <w:szCs w:val="21"/>
              </w:rPr>
            </w:pPr>
          </w:p>
        </w:tc>
        <w:tc>
          <w:tcPr>
            <w:tcW w:w="602" w:type="pct"/>
          </w:tcPr>
          <w:p w14:paraId="24D4F44F">
            <w:pPr>
              <w:rPr>
                <w:sz w:val="21"/>
                <w:szCs w:val="21"/>
              </w:rPr>
            </w:pPr>
          </w:p>
        </w:tc>
        <w:tc>
          <w:tcPr>
            <w:tcW w:w="482" w:type="pct"/>
          </w:tcPr>
          <w:p w14:paraId="18AD439B">
            <w:pPr>
              <w:rPr>
                <w:sz w:val="21"/>
                <w:szCs w:val="21"/>
              </w:rPr>
            </w:pPr>
          </w:p>
        </w:tc>
        <w:tc>
          <w:tcPr>
            <w:tcW w:w="722" w:type="pct"/>
          </w:tcPr>
          <w:p w14:paraId="4A076108">
            <w:pPr>
              <w:rPr>
                <w:sz w:val="21"/>
                <w:szCs w:val="21"/>
              </w:rPr>
            </w:pPr>
          </w:p>
        </w:tc>
        <w:tc>
          <w:tcPr>
            <w:tcW w:w="482" w:type="pct"/>
          </w:tcPr>
          <w:p w14:paraId="182253F0">
            <w:pPr>
              <w:rPr>
                <w:sz w:val="21"/>
                <w:szCs w:val="21"/>
              </w:rPr>
            </w:pPr>
          </w:p>
        </w:tc>
        <w:tc>
          <w:tcPr>
            <w:tcW w:w="602" w:type="pct"/>
          </w:tcPr>
          <w:p w14:paraId="77FAE478">
            <w:pPr>
              <w:rPr>
                <w:sz w:val="21"/>
                <w:szCs w:val="21"/>
              </w:rPr>
            </w:pPr>
          </w:p>
        </w:tc>
      </w:tr>
    </w:tbl>
    <w:p w14:paraId="0A7CF2E5">
      <w:pPr>
        <w:rPr>
          <w:szCs w:val="24"/>
        </w:rPr>
      </w:pPr>
    </w:p>
    <w:p w14:paraId="2B805944">
      <w:pPr>
        <w:rPr>
          <w:szCs w:val="24"/>
        </w:rPr>
      </w:pPr>
      <w:r>
        <w:rPr>
          <w:rFonts w:hint="eastAsia"/>
          <w:szCs w:val="24"/>
        </w:rPr>
        <w:t>3.重均分子量示值误差及重复性</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604"/>
        <w:gridCol w:w="805"/>
        <w:gridCol w:w="805"/>
        <w:gridCol w:w="805"/>
        <w:gridCol w:w="919"/>
        <w:gridCol w:w="1375"/>
        <w:gridCol w:w="1373"/>
      </w:tblGrid>
      <w:tr w14:paraId="298A6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exact"/>
          <w:jc w:val="center"/>
        </w:trPr>
        <w:tc>
          <w:tcPr>
            <w:tcW w:w="759" w:type="pct"/>
            <w:vMerge w:val="restart"/>
            <w:vAlign w:val="center"/>
          </w:tcPr>
          <w:p w14:paraId="704F25D5">
            <w:pPr>
              <w:adjustRightInd w:val="0"/>
              <w:snapToGrid w:val="0"/>
              <w:jc w:val="center"/>
              <w:rPr>
                <w:sz w:val="21"/>
                <w:szCs w:val="20"/>
              </w:rPr>
            </w:pPr>
            <w:r>
              <w:rPr>
                <w:rFonts w:hint="eastAsia"/>
                <w:sz w:val="21"/>
                <w:szCs w:val="20"/>
              </w:rPr>
              <w:t>分子量</w:t>
            </w:r>
            <w:r>
              <w:rPr>
                <w:sz w:val="21"/>
                <w:szCs w:val="20"/>
              </w:rPr>
              <w:t>标准</w:t>
            </w:r>
          </w:p>
          <w:p w14:paraId="1B8C98E7">
            <w:pPr>
              <w:adjustRightInd w:val="0"/>
              <w:snapToGrid w:val="0"/>
              <w:jc w:val="center"/>
              <w:rPr>
                <w:sz w:val="21"/>
                <w:szCs w:val="20"/>
              </w:rPr>
            </w:pPr>
            <w:r>
              <w:rPr>
                <w:sz w:val="21"/>
                <w:szCs w:val="20"/>
              </w:rPr>
              <w:t>物质</w:t>
            </w:r>
            <w:r>
              <w:rPr>
                <w:rFonts w:hint="eastAsia"/>
                <w:sz w:val="21"/>
                <w:szCs w:val="20"/>
              </w:rPr>
              <w:t>种类</w:t>
            </w:r>
          </w:p>
        </w:tc>
        <w:tc>
          <w:tcPr>
            <w:tcW w:w="885" w:type="pct"/>
            <w:vMerge w:val="restart"/>
            <w:vAlign w:val="center"/>
          </w:tcPr>
          <w:p w14:paraId="72F35AC1">
            <w:pPr>
              <w:adjustRightInd w:val="0"/>
              <w:snapToGrid w:val="0"/>
              <w:jc w:val="center"/>
              <w:rPr>
                <w:sz w:val="21"/>
                <w:szCs w:val="20"/>
              </w:rPr>
            </w:pPr>
            <w:r>
              <w:rPr>
                <w:rFonts w:hint="eastAsia"/>
                <w:sz w:val="21"/>
                <w:szCs w:val="20"/>
              </w:rPr>
              <w:t>分子量</w:t>
            </w:r>
            <w:r>
              <w:rPr>
                <w:sz w:val="21"/>
                <w:szCs w:val="20"/>
              </w:rPr>
              <w:t>标准值</w:t>
            </w:r>
          </w:p>
          <w:p w14:paraId="5A157505">
            <w:pPr>
              <w:adjustRightInd w:val="0"/>
              <w:snapToGrid w:val="0"/>
              <w:jc w:val="center"/>
              <w:rPr>
                <w:sz w:val="21"/>
                <w:szCs w:val="20"/>
              </w:rPr>
            </w:pPr>
            <w:r>
              <w:rPr>
                <w:rFonts w:hint="eastAsia"/>
                <w:sz w:val="21"/>
                <w:szCs w:val="20"/>
              </w:rPr>
              <w:t>（kDa）</w:t>
            </w:r>
          </w:p>
        </w:tc>
        <w:tc>
          <w:tcPr>
            <w:tcW w:w="1839" w:type="pct"/>
            <w:gridSpan w:val="4"/>
            <w:vAlign w:val="center"/>
          </w:tcPr>
          <w:p w14:paraId="55A6BB6B">
            <w:pPr>
              <w:adjustRightInd w:val="0"/>
              <w:snapToGrid w:val="0"/>
              <w:jc w:val="center"/>
              <w:rPr>
                <w:sz w:val="21"/>
                <w:szCs w:val="20"/>
              </w:rPr>
            </w:pPr>
            <w:r>
              <w:rPr>
                <w:sz w:val="21"/>
                <w:szCs w:val="20"/>
              </w:rPr>
              <w:t>测量结果</w:t>
            </w:r>
            <w:r>
              <w:rPr>
                <w:rFonts w:hint="eastAsia"/>
                <w:sz w:val="21"/>
                <w:szCs w:val="20"/>
              </w:rPr>
              <w:t>(kDa)</w:t>
            </w:r>
          </w:p>
        </w:tc>
        <w:tc>
          <w:tcPr>
            <w:tcW w:w="759" w:type="pct"/>
            <w:vMerge w:val="restart"/>
            <w:vAlign w:val="center"/>
          </w:tcPr>
          <w:p w14:paraId="4BA69330">
            <w:pPr>
              <w:adjustRightInd w:val="0"/>
              <w:snapToGrid w:val="0"/>
              <w:jc w:val="center"/>
              <w:rPr>
                <w:sz w:val="21"/>
                <w:szCs w:val="20"/>
              </w:rPr>
            </w:pPr>
            <w:r>
              <w:rPr>
                <w:rFonts w:hint="eastAsia"/>
                <w:sz w:val="21"/>
                <w:szCs w:val="20"/>
              </w:rPr>
              <w:t>分子量示值</w:t>
            </w:r>
          </w:p>
          <w:p w14:paraId="1F5D146C">
            <w:pPr>
              <w:adjustRightInd w:val="0"/>
              <w:snapToGrid w:val="0"/>
              <w:jc w:val="center"/>
              <w:rPr>
                <w:sz w:val="21"/>
                <w:szCs w:val="20"/>
              </w:rPr>
            </w:pPr>
            <w:r>
              <w:rPr>
                <w:rFonts w:hint="eastAsia"/>
                <w:sz w:val="21"/>
                <w:szCs w:val="20"/>
              </w:rPr>
              <w:t>误差(</w:t>
            </w:r>
            <w:r>
              <w:rPr>
                <w:sz w:val="21"/>
                <w:szCs w:val="20"/>
              </w:rPr>
              <w:t>%</w:t>
            </w:r>
            <w:r>
              <w:rPr>
                <w:rFonts w:hint="eastAsia"/>
                <w:sz w:val="21"/>
                <w:szCs w:val="20"/>
              </w:rPr>
              <w:t>)</w:t>
            </w:r>
          </w:p>
        </w:tc>
        <w:tc>
          <w:tcPr>
            <w:tcW w:w="759" w:type="pct"/>
            <w:vMerge w:val="restart"/>
          </w:tcPr>
          <w:p w14:paraId="44707C2F">
            <w:pPr>
              <w:adjustRightInd w:val="0"/>
              <w:snapToGrid w:val="0"/>
              <w:jc w:val="center"/>
              <w:rPr>
                <w:sz w:val="21"/>
                <w:szCs w:val="20"/>
              </w:rPr>
            </w:pPr>
            <w:r>
              <w:rPr>
                <w:rFonts w:hint="eastAsia"/>
                <w:sz w:val="21"/>
                <w:szCs w:val="20"/>
              </w:rPr>
              <w:t>测量重复性</w:t>
            </w:r>
          </w:p>
          <w:p w14:paraId="2FB643DE">
            <w:pPr>
              <w:adjustRightInd w:val="0"/>
              <w:snapToGrid w:val="0"/>
              <w:jc w:val="center"/>
              <w:rPr>
                <w:sz w:val="21"/>
                <w:szCs w:val="20"/>
              </w:rPr>
            </w:pPr>
            <w:r>
              <w:rPr>
                <w:rFonts w:hint="eastAsia"/>
                <w:sz w:val="21"/>
                <w:szCs w:val="20"/>
              </w:rPr>
              <w:t>（%）</w:t>
            </w:r>
          </w:p>
        </w:tc>
      </w:tr>
      <w:tr w14:paraId="36A5B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59" w:type="pct"/>
            <w:vMerge w:val="continue"/>
          </w:tcPr>
          <w:p w14:paraId="3CE98182">
            <w:pPr>
              <w:adjustRightInd w:val="0"/>
              <w:snapToGrid w:val="0"/>
              <w:jc w:val="center"/>
              <w:rPr>
                <w:sz w:val="21"/>
                <w:szCs w:val="20"/>
              </w:rPr>
            </w:pPr>
          </w:p>
        </w:tc>
        <w:tc>
          <w:tcPr>
            <w:tcW w:w="885" w:type="pct"/>
            <w:vMerge w:val="continue"/>
            <w:vAlign w:val="center"/>
          </w:tcPr>
          <w:p w14:paraId="651A1CC9">
            <w:pPr>
              <w:adjustRightInd w:val="0"/>
              <w:snapToGrid w:val="0"/>
              <w:jc w:val="center"/>
              <w:rPr>
                <w:sz w:val="21"/>
                <w:szCs w:val="20"/>
              </w:rPr>
            </w:pPr>
          </w:p>
        </w:tc>
        <w:tc>
          <w:tcPr>
            <w:tcW w:w="444" w:type="pct"/>
            <w:vAlign w:val="center"/>
          </w:tcPr>
          <w:p w14:paraId="35CF2C94">
            <w:pPr>
              <w:adjustRightInd w:val="0"/>
              <w:snapToGrid w:val="0"/>
              <w:jc w:val="center"/>
              <w:rPr>
                <w:sz w:val="21"/>
                <w:szCs w:val="20"/>
              </w:rPr>
            </w:pPr>
            <w:r>
              <w:rPr>
                <w:rFonts w:hint="eastAsia"/>
                <w:sz w:val="21"/>
                <w:szCs w:val="20"/>
              </w:rPr>
              <w:t>1</w:t>
            </w:r>
          </w:p>
        </w:tc>
        <w:tc>
          <w:tcPr>
            <w:tcW w:w="444" w:type="pct"/>
            <w:vAlign w:val="center"/>
          </w:tcPr>
          <w:p w14:paraId="67EDF045">
            <w:pPr>
              <w:adjustRightInd w:val="0"/>
              <w:snapToGrid w:val="0"/>
              <w:jc w:val="center"/>
              <w:rPr>
                <w:sz w:val="21"/>
                <w:szCs w:val="20"/>
              </w:rPr>
            </w:pPr>
            <w:r>
              <w:rPr>
                <w:rFonts w:hint="eastAsia"/>
                <w:sz w:val="21"/>
                <w:szCs w:val="20"/>
              </w:rPr>
              <w:t>2</w:t>
            </w:r>
          </w:p>
        </w:tc>
        <w:tc>
          <w:tcPr>
            <w:tcW w:w="444" w:type="pct"/>
            <w:vAlign w:val="center"/>
          </w:tcPr>
          <w:p w14:paraId="2E278459">
            <w:pPr>
              <w:adjustRightInd w:val="0"/>
              <w:snapToGrid w:val="0"/>
              <w:jc w:val="center"/>
              <w:rPr>
                <w:sz w:val="21"/>
                <w:szCs w:val="20"/>
              </w:rPr>
            </w:pPr>
            <w:r>
              <w:rPr>
                <w:rFonts w:hint="eastAsia"/>
                <w:sz w:val="21"/>
                <w:szCs w:val="20"/>
              </w:rPr>
              <w:t>3</w:t>
            </w:r>
          </w:p>
        </w:tc>
        <w:tc>
          <w:tcPr>
            <w:tcW w:w="507" w:type="pct"/>
            <w:vAlign w:val="center"/>
          </w:tcPr>
          <w:p w14:paraId="3D0D18C8">
            <w:pPr>
              <w:adjustRightInd w:val="0"/>
              <w:snapToGrid w:val="0"/>
              <w:jc w:val="center"/>
              <w:rPr>
                <w:sz w:val="21"/>
                <w:szCs w:val="20"/>
              </w:rPr>
            </w:pPr>
            <w:r>
              <w:rPr>
                <w:sz w:val="21"/>
                <w:szCs w:val="20"/>
              </w:rPr>
              <w:t>平均值</w:t>
            </w:r>
          </w:p>
        </w:tc>
        <w:tc>
          <w:tcPr>
            <w:tcW w:w="759" w:type="pct"/>
            <w:vMerge w:val="continue"/>
            <w:vAlign w:val="center"/>
          </w:tcPr>
          <w:p w14:paraId="3A7C9150">
            <w:pPr>
              <w:adjustRightInd w:val="0"/>
              <w:snapToGrid w:val="0"/>
              <w:jc w:val="center"/>
              <w:rPr>
                <w:sz w:val="21"/>
                <w:szCs w:val="20"/>
              </w:rPr>
            </w:pPr>
          </w:p>
        </w:tc>
        <w:tc>
          <w:tcPr>
            <w:tcW w:w="759" w:type="pct"/>
            <w:vMerge w:val="continue"/>
          </w:tcPr>
          <w:p w14:paraId="519EDF5B">
            <w:pPr>
              <w:adjustRightInd w:val="0"/>
              <w:snapToGrid w:val="0"/>
              <w:jc w:val="center"/>
              <w:rPr>
                <w:sz w:val="21"/>
                <w:szCs w:val="20"/>
              </w:rPr>
            </w:pPr>
          </w:p>
        </w:tc>
      </w:tr>
      <w:tr w14:paraId="557D0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59" w:type="pct"/>
          </w:tcPr>
          <w:p w14:paraId="0D9CAA89">
            <w:pPr>
              <w:adjustRightInd w:val="0"/>
              <w:snapToGrid w:val="0"/>
              <w:jc w:val="center"/>
              <w:rPr>
                <w:sz w:val="21"/>
                <w:szCs w:val="20"/>
              </w:rPr>
            </w:pPr>
            <w:bookmarkStart w:id="57" w:name="_Hlk153806360"/>
          </w:p>
        </w:tc>
        <w:tc>
          <w:tcPr>
            <w:tcW w:w="885" w:type="pct"/>
            <w:vAlign w:val="center"/>
          </w:tcPr>
          <w:p w14:paraId="4E4707F6">
            <w:pPr>
              <w:adjustRightInd w:val="0"/>
              <w:snapToGrid w:val="0"/>
              <w:jc w:val="center"/>
              <w:rPr>
                <w:sz w:val="21"/>
                <w:szCs w:val="20"/>
              </w:rPr>
            </w:pPr>
          </w:p>
        </w:tc>
        <w:tc>
          <w:tcPr>
            <w:tcW w:w="444" w:type="pct"/>
            <w:vAlign w:val="center"/>
          </w:tcPr>
          <w:p w14:paraId="16093911">
            <w:pPr>
              <w:adjustRightInd w:val="0"/>
              <w:snapToGrid w:val="0"/>
              <w:jc w:val="center"/>
              <w:rPr>
                <w:sz w:val="21"/>
                <w:szCs w:val="20"/>
              </w:rPr>
            </w:pPr>
          </w:p>
        </w:tc>
        <w:tc>
          <w:tcPr>
            <w:tcW w:w="444" w:type="pct"/>
            <w:vAlign w:val="center"/>
          </w:tcPr>
          <w:p w14:paraId="7ADF0CB3">
            <w:pPr>
              <w:adjustRightInd w:val="0"/>
              <w:snapToGrid w:val="0"/>
              <w:jc w:val="center"/>
              <w:rPr>
                <w:sz w:val="21"/>
                <w:szCs w:val="20"/>
              </w:rPr>
            </w:pPr>
          </w:p>
        </w:tc>
        <w:tc>
          <w:tcPr>
            <w:tcW w:w="444" w:type="pct"/>
            <w:vAlign w:val="center"/>
          </w:tcPr>
          <w:p w14:paraId="59F732D3">
            <w:pPr>
              <w:adjustRightInd w:val="0"/>
              <w:snapToGrid w:val="0"/>
              <w:jc w:val="center"/>
              <w:rPr>
                <w:sz w:val="21"/>
                <w:szCs w:val="20"/>
              </w:rPr>
            </w:pPr>
          </w:p>
        </w:tc>
        <w:tc>
          <w:tcPr>
            <w:tcW w:w="507" w:type="pct"/>
            <w:vAlign w:val="center"/>
          </w:tcPr>
          <w:p w14:paraId="7B65B5F8">
            <w:pPr>
              <w:adjustRightInd w:val="0"/>
              <w:snapToGrid w:val="0"/>
              <w:jc w:val="center"/>
              <w:rPr>
                <w:sz w:val="21"/>
                <w:szCs w:val="20"/>
              </w:rPr>
            </w:pPr>
          </w:p>
        </w:tc>
        <w:tc>
          <w:tcPr>
            <w:tcW w:w="759" w:type="pct"/>
            <w:vAlign w:val="center"/>
          </w:tcPr>
          <w:p w14:paraId="0802EBD3">
            <w:pPr>
              <w:adjustRightInd w:val="0"/>
              <w:snapToGrid w:val="0"/>
              <w:jc w:val="center"/>
              <w:rPr>
                <w:sz w:val="21"/>
                <w:szCs w:val="20"/>
              </w:rPr>
            </w:pPr>
          </w:p>
        </w:tc>
        <w:tc>
          <w:tcPr>
            <w:tcW w:w="759" w:type="pct"/>
          </w:tcPr>
          <w:p w14:paraId="231DB1A9">
            <w:pPr>
              <w:adjustRightInd w:val="0"/>
              <w:snapToGrid w:val="0"/>
              <w:jc w:val="center"/>
              <w:rPr>
                <w:sz w:val="21"/>
                <w:szCs w:val="20"/>
              </w:rPr>
            </w:pPr>
          </w:p>
        </w:tc>
      </w:tr>
      <w:tr w14:paraId="1CB0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59" w:type="pct"/>
          </w:tcPr>
          <w:p w14:paraId="39563970">
            <w:pPr>
              <w:adjustRightInd w:val="0"/>
              <w:snapToGrid w:val="0"/>
              <w:jc w:val="center"/>
              <w:rPr>
                <w:sz w:val="21"/>
                <w:szCs w:val="20"/>
              </w:rPr>
            </w:pPr>
          </w:p>
        </w:tc>
        <w:tc>
          <w:tcPr>
            <w:tcW w:w="885" w:type="pct"/>
            <w:vAlign w:val="center"/>
          </w:tcPr>
          <w:p w14:paraId="3BE63F7A">
            <w:pPr>
              <w:adjustRightInd w:val="0"/>
              <w:snapToGrid w:val="0"/>
              <w:jc w:val="center"/>
              <w:rPr>
                <w:sz w:val="21"/>
                <w:szCs w:val="20"/>
              </w:rPr>
            </w:pPr>
          </w:p>
        </w:tc>
        <w:tc>
          <w:tcPr>
            <w:tcW w:w="444" w:type="pct"/>
            <w:vAlign w:val="center"/>
          </w:tcPr>
          <w:p w14:paraId="0B1DF13B">
            <w:pPr>
              <w:adjustRightInd w:val="0"/>
              <w:snapToGrid w:val="0"/>
              <w:jc w:val="center"/>
              <w:rPr>
                <w:sz w:val="21"/>
                <w:szCs w:val="20"/>
              </w:rPr>
            </w:pPr>
          </w:p>
        </w:tc>
        <w:tc>
          <w:tcPr>
            <w:tcW w:w="444" w:type="pct"/>
            <w:vAlign w:val="center"/>
          </w:tcPr>
          <w:p w14:paraId="16BC29F8">
            <w:pPr>
              <w:adjustRightInd w:val="0"/>
              <w:snapToGrid w:val="0"/>
              <w:jc w:val="center"/>
              <w:rPr>
                <w:sz w:val="21"/>
                <w:szCs w:val="20"/>
              </w:rPr>
            </w:pPr>
          </w:p>
        </w:tc>
        <w:tc>
          <w:tcPr>
            <w:tcW w:w="444" w:type="pct"/>
            <w:vAlign w:val="center"/>
          </w:tcPr>
          <w:p w14:paraId="4BA2D826">
            <w:pPr>
              <w:adjustRightInd w:val="0"/>
              <w:snapToGrid w:val="0"/>
              <w:jc w:val="center"/>
              <w:rPr>
                <w:sz w:val="21"/>
                <w:szCs w:val="20"/>
              </w:rPr>
            </w:pPr>
          </w:p>
        </w:tc>
        <w:tc>
          <w:tcPr>
            <w:tcW w:w="507" w:type="pct"/>
            <w:vAlign w:val="center"/>
          </w:tcPr>
          <w:p w14:paraId="414B0777">
            <w:pPr>
              <w:adjustRightInd w:val="0"/>
              <w:snapToGrid w:val="0"/>
              <w:jc w:val="center"/>
              <w:rPr>
                <w:sz w:val="21"/>
                <w:szCs w:val="20"/>
              </w:rPr>
            </w:pPr>
          </w:p>
        </w:tc>
        <w:tc>
          <w:tcPr>
            <w:tcW w:w="759" w:type="pct"/>
            <w:vAlign w:val="center"/>
          </w:tcPr>
          <w:p w14:paraId="766A3C04">
            <w:pPr>
              <w:adjustRightInd w:val="0"/>
              <w:snapToGrid w:val="0"/>
              <w:jc w:val="center"/>
              <w:rPr>
                <w:sz w:val="21"/>
                <w:szCs w:val="20"/>
              </w:rPr>
            </w:pPr>
          </w:p>
        </w:tc>
        <w:tc>
          <w:tcPr>
            <w:tcW w:w="759" w:type="pct"/>
          </w:tcPr>
          <w:p w14:paraId="2CBF4294">
            <w:pPr>
              <w:adjustRightInd w:val="0"/>
              <w:snapToGrid w:val="0"/>
              <w:jc w:val="center"/>
              <w:rPr>
                <w:sz w:val="21"/>
                <w:szCs w:val="20"/>
              </w:rPr>
            </w:pPr>
          </w:p>
        </w:tc>
      </w:tr>
      <w:tr w14:paraId="56883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59" w:type="pct"/>
          </w:tcPr>
          <w:p w14:paraId="2E34933A">
            <w:pPr>
              <w:adjustRightInd w:val="0"/>
              <w:snapToGrid w:val="0"/>
              <w:jc w:val="center"/>
              <w:rPr>
                <w:sz w:val="21"/>
                <w:szCs w:val="20"/>
              </w:rPr>
            </w:pPr>
          </w:p>
        </w:tc>
        <w:tc>
          <w:tcPr>
            <w:tcW w:w="885" w:type="pct"/>
            <w:vAlign w:val="center"/>
          </w:tcPr>
          <w:p w14:paraId="3200D4FD">
            <w:pPr>
              <w:adjustRightInd w:val="0"/>
              <w:snapToGrid w:val="0"/>
              <w:jc w:val="center"/>
              <w:rPr>
                <w:sz w:val="21"/>
                <w:szCs w:val="20"/>
              </w:rPr>
            </w:pPr>
          </w:p>
        </w:tc>
        <w:tc>
          <w:tcPr>
            <w:tcW w:w="444" w:type="pct"/>
            <w:vAlign w:val="center"/>
          </w:tcPr>
          <w:p w14:paraId="64F7BB3C">
            <w:pPr>
              <w:adjustRightInd w:val="0"/>
              <w:snapToGrid w:val="0"/>
              <w:jc w:val="center"/>
              <w:rPr>
                <w:sz w:val="21"/>
                <w:szCs w:val="20"/>
              </w:rPr>
            </w:pPr>
          </w:p>
        </w:tc>
        <w:tc>
          <w:tcPr>
            <w:tcW w:w="444" w:type="pct"/>
            <w:vAlign w:val="center"/>
          </w:tcPr>
          <w:p w14:paraId="0ED6D806">
            <w:pPr>
              <w:adjustRightInd w:val="0"/>
              <w:snapToGrid w:val="0"/>
              <w:jc w:val="center"/>
              <w:rPr>
                <w:sz w:val="21"/>
                <w:szCs w:val="20"/>
              </w:rPr>
            </w:pPr>
          </w:p>
        </w:tc>
        <w:tc>
          <w:tcPr>
            <w:tcW w:w="444" w:type="pct"/>
            <w:vAlign w:val="center"/>
          </w:tcPr>
          <w:p w14:paraId="632A0EE2">
            <w:pPr>
              <w:adjustRightInd w:val="0"/>
              <w:snapToGrid w:val="0"/>
              <w:jc w:val="center"/>
              <w:rPr>
                <w:sz w:val="21"/>
                <w:szCs w:val="20"/>
              </w:rPr>
            </w:pPr>
          </w:p>
        </w:tc>
        <w:tc>
          <w:tcPr>
            <w:tcW w:w="507" w:type="pct"/>
            <w:vAlign w:val="center"/>
          </w:tcPr>
          <w:p w14:paraId="5F89D07D">
            <w:pPr>
              <w:adjustRightInd w:val="0"/>
              <w:snapToGrid w:val="0"/>
              <w:jc w:val="center"/>
              <w:rPr>
                <w:sz w:val="21"/>
                <w:szCs w:val="20"/>
              </w:rPr>
            </w:pPr>
          </w:p>
        </w:tc>
        <w:tc>
          <w:tcPr>
            <w:tcW w:w="759" w:type="pct"/>
            <w:vAlign w:val="center"/>
          </w:tcPr>
          <w:p w14:paraId="451023D3">
            <w:pPr>
              <w:adjustRightInd w:val="0"/>
              <w:snapToGrid w:val="0"/>
              <w:jc w:val="center"/>
              <w:rPr>
                <w:sz w:val="21"/>
                <w:szCs w:val="20"/>
              </w:rPr>
            </w:pPr>
          </w:p>
        </w:tc>
        <w:tc>
          <w:tcPr>
            <w:tcW w:w="759" w:type="pct"/>
          </w:tcPr>
          <w:p w14:paraId="3ADB4ADD">
            <w:pPr>
              <w:adjustRightInd w:val="0"/>
              <w:snapToGrid w:val="0"/>
              <w:jc w:val="center"/>
              <w:rPr>
                <w:sz w:val="21"/>
                <w:szCs w:val="20"/>
              </w:rPr>
            </w:pPr>
          </w:p>
        </w:tc>
      </w:tr>
      <w:bookmarkEnd w:id="57"/>
    </w:tbl>
    <w:p w14:paraId="1D45D86D">
      <w:pPr>
        <w:rPr>
          <w:szCs w:val="24"/>
        </w:rPr>
      </w:pPr>
    </w:p>
    <w:p w14:paraId="44AB37D1">
      <w:pPr>
        <w:rPr>
          <w:szCs w:val="24"/>
        </w:rPr>
      </w:pPr>
      <w:r>
        <w:rPr>
          <w:rFonts w:hint="eastAsia"/>
          <w:szCs w:val="24"/>
        </w:rPr>
        <w:t>4.回转半径示值误差</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1018"/>
        <w:gridCol w:w="1017"/>
        <w:gridCol w:w="906"/>
        <w:gridCol w:w="906"/>
        <w:gridCol w:w="906"/>
        <w:gridCol w:w="906"/>
        <w:gridCol w:w="1105"/>
        <w:gridCol w:w="1138"/>
      </w:tblGrid>
      <w:tr w14:paraId="327D1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jc w:val="center"/>
        </w:trPr>
        <w:tc>
          <w:tcPr>
            <w:tcW w:w="639" w:type="pct"/>
            <w:vMerge w:val="restart"/>
            <w:vAlign w:val="center"/>
          </w:tcPr>
          <w:p w14:paraId="465AA611">
            <w:pPr>
              <w:adjustRightInd w:val="0"/>
              <w:snapToGrid w:val="0"/>
              <w:jc w:val="center"/>
              <w:rPr>
                <w:sz w:val="21"/>
                <w:szCs w:val="20"/>
              </w:rPr>
            </w:pPr>
            <w:r>
              <w:rPr>
                <w:rFonts w:hint="eastAsia"/>
                <w:sz w:val="21"/>
                <w:szCs w:val="20"/>
              </w:rPr>
              <w:t>粒度</w:t>
            </w:r>
            <w:r>
              <w:rPr>
                <w:sz w:val="21"/>
                <w:szCs w:val="20"/>
              </w:rPr>
              <w:t>标准物质</w:t>
            </w:r>
            <w:r>
              <w:rPr>
                <w:rFonts w:hint="eastAsia"/>
                <w:sz w:val="21"/>
                <w:szCs w:val="20"/>
              </w:rPr>
              <w:t>种类</w:t>
            </w:r>
          </w:p>
        </w:tc>
        <w:tc>
          <w:tcPr>
            <w:tcW w:w="562" w:type="pct"/>
            <w:vMerge w:val="restart"/>
            <w:vAlign w:val="center"/>
          </w:tcPr>
          <w:p w14:paraId="75ED48A8">
            <w:pPr>
              <w:adjustRightInd w:val="0"/>
              <w:snapToGrid w:val="0"/>
              <w:jc w:val="center"/>
              <w:rPr>
                <w:sz w:val="21"/>
                <w:szCs w:val="20"/>
              </w:rPr>
            </w:pPr>
            <w:r>
              <w:rPr>
                <w:rFonts w:hint="eastAsia"/>
                <w:sz w:val="21"/>
                <w:szCs w:val="20"/>
              </w:rPr>
              <w:t>粒度</w:t>
            </w:r>
          </w:p>
          <w:p w14:paraId="3B8C9A3F">
            <w:pPr>
              <w:adjustRightInd w:val="0"/>
              <w:snapToGrid w:val="0"/>
              <w:jc w:val="center"/>
              <w:rPr>
                <w:sz w:val="21"/>
                <w:szCs w:val="20"/>
              </w:rPr>
            </w:pPr>
            <w:r>
              <w:rPr>
                <w:sz w:val="21"/>
                <w:szCs w:val="20"/>
              </w:rPr>
              <w:t>标准值</w:t>
            </w:r>
            <w:r>
              <w:rPr>
                <w:rFonts w:hint="eastAsia"/>
                <w:sz w:val="21"/>
                <w:szCs w:val="20"/>
              </w:rPr>
              <w:t>（nm）</w:t>
            </w:r>
          </w:p>
        </w:tc>
        <w:tc>
          <w:tcPr>
            <w:tcW w:w="561" w:type="pct"/>
            <w:vMerge w:val="restart"/>
            <w:vAlign w:val="center"/>
          </w:tcPr>
          <w:p w14:paraId="1EBBE045">
            <w:pPr>
              <w:adjustRightInd w:val="0"/>
              <w:snapToGrid w:val="0"/>
              <w:jc w:val="center"/>
              <w:rPr>
                <w:sz w:val="21"/>
                <w:szCs w:val="20"/>
              </w:rPr>
            </w:pPr>
            <w:r>
              <w:rPr>
                <w:rFonts w:hint="eastAsia"/>
                <w:sz w:val="21"/>
                <w:szCs w:val="20"/>
              </w:rPr>
              <w:t>回转</w:t>
            </w:r>
          </w:p>
          <w:p w14:paraId="7FD33520">
            <w:pPr>
              <w:adjustRightInd w:val="0"/>
              <w:snapToGrid w:val="0"/>
              <w:jc w:val="center"/>
              <w:rPr>
                <w:sz w:val="21"/>
                <w:szCs w:val="20"/>
              </w:rPr>
            </w:pPr>
            <w:r>
              <w:rPr>
                <w:rFonts w:hint="eastAsia"/>
                <w:sz w:val="21"/>
                <w:szCs w:val="20"/>
              </w:rPr>
              <w:t>半径（nm）</w:t>
            </w:r>
          </w:p>
        </w:tc>
        <w:tc>
          <w:tcPr>
            <w:tcW w:w="1958" w:type="pct"/>
            <w:gridSpan w:val="4"/>
            <w:vAlign w:val="center"/>
          </w:tcPr>
          <w:p w14:paraId="1C06456C">
            <w:pPr>
              <w:adjustRightInd w:val="0"/>
              <w:snapToGrid w:val="0"/>
              <w:jc w:val="center"/>
              <w:rPr>
                <w:sz w:val="21"/>
                <w:szCs w:val="20"/>
              </w:rPr>
            </w:pPr>
            <w:r>
              <w:rPr>
                <w:sz w:val="21"/>
                <w:szCs w:val="20"/>
              </w:rPr>
              <w:t>测量结果</w:t>
            </w:r>
            <w:r>
              <w:rPr>
                <w:rFonts w:hint="eastAsia"/>
                <w:sz w:val="21"/>
                <w:szCs w:val="20"/>
              </w:rPr>
              <w:t>(nm)</w:t>
            </w:r>
          </w:p>
        </w:tc>
        <w:tc>
          <w:tcPr>
            <w:tcW w:w="610" w:type="pct"/>
            <w:vMerge w:val="restart"/>
            <w:vAlign w:val="center"/>
          </w:tcPr>
          <w:p w14:paraId="0F4BFC9D">
            <w:pPr>
              <w:adjustRightInd w:val="0"/>
              <w:snapToGrid w:val="0"/>
              <w:jc w:val="center"/>
              <w:rPr>
                <w:sz w:val="21"/>
                <w:szCs w:val="20"/>
              </w:rPr>
            </w:pPr>
            <w:r>
              <w:rPr>
                <w:rFonts w:hint="eastAsia"/>
                <w:sz w:val="21"/>
                <w:szCs w:val="20"/>
              </w:rPr>
              <w:t>回转半径</w:t>
            </w:r>
          </w:p>
          <w:p w14:paraId="5A3D883B">
            <w:pPr>
              <w:adjustRightInd w:val="0"/>
              <w:snapToGrid w:val="0"/>
              <w:jc w:val="center"/>
              <w:rPr>
                <w:sz w:val="21"/>
                <w:szCs w:val="20"/>
              </w:rPr>
            </w:pPr>
            <w:r>
              <w:rPr>
                <w:rFonts w:hint="eastAsia"/>
                <w:sz w:val="21"/>
                <w:szCs w:val="20"/>
              </w:rPr>
              <w:t>示值误差(</w:t>
            </w:r>
            <w:r>
              <w:rPr>
                <w:sz w:val="21"/>
                <w:szCs w:val="20"/>
              </w:rPr>
              <w:t>%</w:t>
            </w:r>
            <w:r>
              <w:rPr>
                <w:rFonts w:hint="eastAsia"/>
                <w:sz w:val="21"/>
                <w:szCs w:val="20"/>
              </w:rPr>
              <w:t>)</w:t>
            </w:r>
          </w:p>
        </w:tc>
        <w:tc>
          <w:tcPr>
            <w:tcW w:w="670" w:type="pct"/>
            <w:vMerge w:val="restart"/>
          </w:tcPr>
          <w:p w14:paraId="55E1B105">
            <w:pPr>
              <w:adjustRightInd w:val="0"/>
              <w:snapToGrid w:val="0"/>
              <w:jc w:val="center"/>
              <w:rPr>
                <w:sz w:val="21"/>
                <w:szCs w:val="20"/>
              </w:rPr>
            </w:pPr>
            <w:r>
              <w:rPr>
                <w:rFonts w:hint="eastAsia"/>
                <w:sz w:val="21"/>
                <w:szCs w:val="20"/>
              </w:rPr>
              <w:t>测量</w:t>
            </w:r>
          </w:p>
          <w:p w14:paraId="68FC4F5A">
            <w:pPr>
              <w:adjustRightInd w:val="0"/>
              <w:snapToGrid w:val="0"/>
              <w:jc w:val="center"/>
              <w:rPr>
                <w:sz w:val="21"/>
                <w:szCs w:val="20"/>
              </w:rPr>
            </w:pPr>
            <w:r>
              <w:rPr>
                <w:rFonts w:hint="eastAsia"/>
                <w:sz w:val="21"/>
                <w:szCs w:val="20"/>
              </w:rPr>
              <w:t>重复性（%）</w:t>
            </w:r>
          </w:p>
        </w:tc>
      </w:tr>
      <w:tr w14:paraId="248B9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639" w:type="pct"/>
            <w:vMerge w:val="continue"/>
          </w:tcPr>
          <w:p w14:paraId="03CF2855">
            <w:pPr>
              <w:adjustRightInd w:val="0"/>
              <w:snapToGrid w:val="0"/>
              <w:jc w:val="center"/>
              <w:rPr>
                <w:sz w:val="21"/>
                <w:szCs w:val="20"/>
              </w:rPr>
            </w:pPr>
          </w:p>
        </w:tc>
        <w:tc>
          <w:tcPr>
            <w:tcW w:w="562" w:type="pct"/>
            <w:vMerge w:val="continue"/>
            <w:vAlign w:val="center"/>
          </w:tcPr>
          <w:p w14:paraId="3D4AE9BE">
            <w:pPr>
              <w:adjustRightInd w:val="0"/>
              <w:snapToGrid w:val="0"/>
              <w:jc w:val="center"/>
              <w:rPr>
                <w:sz w:val="21"/>
                <w:szCs w:val="20"/>
              </w:rPr>
            </w:pPr>
          </w:p>
        </w:tc>
        <w:tc>
          <w:tcPr>
            <w:tcW w:w="561" w:type="pct"/>
            <w:vMerge w:val="continue"/>
            <w:vAlign w:val="center"/>
          </w:tcPr>
          <w:p w14:paraId="6CF41927">
            <w:pPr>
              <w:adjustRightInd w:val="0"/>
              <w:snapToGrid w:val="0"/>
              <w:jc w:val="center"/>
              <w:rPr>
                <w:sz w:val="21"/>
                <w:szCs w:val="20"/>
              </w:rPr>
            </w:pPr>
          </w:p>
        </w:tc>
        <w:tc>
          <w:tcPr>
            <w:tcW w:w="500" w:type="pct"/>
            <w:vAlign w:val="center"/>
          </w:tcPr>
          <w:p w14:paraId="7DF605F2">
            <w:pPr>
              <w:adjustRightInd w:val="0"/>
              <w:snapToGrid w:val="0"/>
              <w:jc w:val="center"/>
              <w:rPr>
                <w:sz w:val="21"/>
                <w:szCs w:val="20"/>
              </w:rPr>
            </w:pPr>
            <w:r>
              <w:rPr>
                <w:rFonts w:hint="eastAsia"/>
                <w:sz w:val="21"/>
                <w:szCs w:val="20"/>
              </w:rPr>
              <w:t>1</w:t>
            </w:r>
          </w:p>
        </w:tc>
        <w:tc>
          <w:tcPr>
            <w:tcW w:w="500" w:type="pct"/>
            <w:vAlign w:val="center"/>
          </w:tcPr>
          <w:p w14:paraId="624F12A4">
            <w:pPr>
              <w:adjustRightInd w:val="0"/>
              <w:snapToGrid w:val="0"/>
              <w:jc w:val="center"/>
              <w:rPr>
                <w:sz w:val="21"/>
                <w:szCs w:val="20"/>
              </w:rPr>
            </w:pPr>
            <w:r>
              <w:rPr>
                <w:rFonts w:hint="eastAsia"/>
                <w:sz w:val="21"/>
                <w:szCs w:val="20"/>
              </w:rPr>
              <w:t>2</w:t>
            </w:r>
          </w:p>
        </w:tc>
        <w:tc>
          <w:tcPr>
            <w:tcW w:w="500" w:type="pct"/>
            <w:vAlign w:val="center"/>
          </w:tcPr>
          <w:p w14:paraId="0E8B15FE">
            <w:pPr>
              <w:adjustRightInd w:val="0"/>
              <w:snapToGrid w:val="0"/>
              <w:jc w:val="center"/>
              <w:rPr>
                <w:sz w:val="21"/>
                <w:szCs w:val="20"/>
              </w:rPr>
            </w:pPr>
            <w:r>
              <w:rPr>
                <w:rFonts w:hint="eastAsia"/>
                <w:sz w:val="21"/>
                <w:szCs w:val="20"/>
              </w:rPr>
              <w:t>3</w:t>
            </w:r>
          </w:p>
        </w:tc>
        <w:tc>
          <w:tcPr>
            <w:tcW w:w="500" w:type="pct"/>
            <w:vAlign w:val="center"/>
          </w:tcPr>
          <w:p w14:paraId="08D760C8">
            <w:pPr>
              <w:adjustRightInd w:val="0"/>
              <w:snapToGrid w:val="0"/>
              <w:jc w:val="center"/>
              <w:rPr>
                <w:sz w:val="21"/>
                <w:szCs w:val="20"/>
              </w:rPr>
            </w:pPr>
            <w:r>
              <w:rPr>
                <w:sz w:val="21"/>
                <w:szCs w:val="20"/>
              </w:rPr>
              <w:t>平均值</w:t>
            </w:r>
          </w:p>
        </w:tc>
        <w:tc>
          <w:tcPr>
            <w:tcW w:w="610" w:type="pct"/>
            <w:vMerge w:val="continue"/>
            <w:vAlign w:val="center"/>
          </w:tcPr>
          <w:p w14:paraId="49A89247">
            <w:pPr>
              <w:adjustRightInd w:val="0"/>
              <w:snapToGrid w:val="0"/>
              <w:jc w:val="center"/>
              <w:rPr>
                <w:sz w:val="21"/>
                <w:szCs w:val="20"/>
              </w:rPr>
            </w:pPr>
          </w:p>
        </w:tc>
        <w:tc>
          <w:tcPr>
            <w:tcW w:w="670" w:type="pct"/>
            <w:vMerge w:val="continue"/>
          </w:tcPr>
          <w:p w14:paraId="63007B6B">
            <w:pPr>
              <w:adjustRightInd w:val="0"/>
              <w:snapToGrid w:val="0"/>
              <w:jc w:val="center"/>
              <w:rPr>
                <w:sz w:val="21"/>
                <w:szCs w:val="20"/>
              </w:rPr>
            </w:pPr>
          </w:p>
        </w:tc>
      </w:tr>
      <w:tr w14:paraId="475E7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639" w:type="pct"/>
          </w:tcPr>
          <w:p w14:paraId="1A6A38E5">
            <w:pPr>
              <w:adjustRightInd w:val="0"/>
              <w:snapToGrid w:val="0"/>
              <w:jc w:val="center"/>
              <w:rPr>
                <w:sz w:val="21"/>
                <w:szCs w:val="20"/>
              </w:rPr>
            </w:pPr>
          </w:p>
        </w:tc>
        <w:tc>
          <w:tcPr>
            <w:tcW w:w="562" w:type="pct"/>
            <w:vAlign w:val="center"/>
          </w:tcPr>
          <w:p w14:paraId="781560B6">
            <w:pPr>
              <w:adjustRightInd w:val="0"/>
              <w:snapToGrid w:val="0"/>
              <w:jc w:val="center"/>
              <w:rPr>
                <w:sz w:val="21"/>
                <w:szCs w:val="20"/>
              </w:rPr>
            </w:pPr>
          </w:p>
        </w:tc>
        <w:tc>
          <w:tcPr>
            <w:tcW w:w="561" w:type="pct"/>
            <w:vAlign w:val="center"/>
          </w:tcPr>
          <w:p w14:paraId="258D8DC8">
            <w:pPr>
              <w:adjustRightInd w:val="0"/>
              <w:snapToGrid w:val="0"/>
              <w:jc w:val="center"/>
              <w:rPr>
                <w:sz w:val="21"/>
                <w:szCs w:val="20"/>
              </w:rPr>
            </w:pPr>
          </w:p>
        </w:tc>
        <w:tc>
          <w:tcPr>
            <w:tcW w:w="500" w:type="pct"/>
            <w:vAlign w:val="center"/>
          </w:tcPr>
          <w:p w14:paraId="672C16CF">
            <w:pPr>
              <w:adjustRightInd w:val="0"/>
              <w:snapToGrid w:val="0"/>
              <w:jc w:val="center"/>
              <w:rPr>
                <w:sz w:val="21"/>
                <w:szCs w:val="20"/>
              </w:rPr>
            </w:pPr>
          </w:p>
        </w:tc>
        <w:tc>
          <w:tcPr>
            <w:tcW w:w="500" w:type="pct"/>
            <w:vAlign w:val="center"/>
          </w:tcPr>
          <w:p w14:paraId="2173E43C">
            <w:pPr>
              <w:adjustRightInd w:val="0"/>
              <w:snapToGrid w:val="0"/>
              <w:jc w:val="center"/>
              <w:rPr>
                <w:sz w:val="21"/>
                <w:szCs w:val="20"/>
              </w:rPr>
            </w:pPr>
          </w:p>
        </w:tc>
        <w:tc>
          <w:tcPr>
            <w:tcW w:w="500" w:type="pct"/>
            <w:vAlign w:val="center"/>
          </w:tcPr>
          <w:p w14:paraId="76078DE3">
            <w:pPr>
              <w:adjustRightInd w:val="0"/>
              <w:snapToGrid w:val="0"/>
              <w:jc w:val="center"/>
              <w:rPr>
                <w:sz w:val="21"/>
                <w:szCs w:val="20"/>
              </w:rPr>
            </w:pPr>
          </w:p>
        </w:tc>
        <w:tc>
          <w:tcPr>
            <w:tcW w:w="500" w:type="pct"/>
            <w:vAlign w:val="center"/>
          </w:tcPr>
          <w:p w14:paraId="1ADB313B">
            <w:pPr>
              <w:adjustRightInd w:val="0"/>
              <w:snapToGrid w:val="0"/>
              <w:jc w:val="center"/>
              <w:rPr>
                <w:sz w:val="21"/>
                <w:szCs w:val="20"/>
              </w:rPr>
            </w:pPr>
          </w:p>
        </w:tc>
        <w:tc>
          <w:tcPr>
            <w:tcW w:w="610" w:type="pct"/>
            <w:vAlign w:val="center"/>
          </w:tcPr>
          <w:p w14:paraId="65FC7055">
            <w:pPr>
              <w:adjustRightInd w:val="0"/>
              <w:snapToGrid w:val="0"/>
              <w:jc w:val="center"/>
              <w:rPr>
                <w:sz w:val="21"/>
                <w:szCs w:val="20"/>
              </w:rPr>
            </w:pPr>
          </w:p>
        </w:tc>
        <w:tc>
          <w:tcPr>
            <w:tcW w:w="670" w:type="pct"/>
          </w:tcPr>
          <w:p w14:paraId="206E6D29">
            <w:pPr>
              <w:adjustRightInd w:val="0"/>
              <w:snapToGrid w:val="0"/>
              <w:jc w:val="center"/>
              <w:rPr>
                <w:sz w:val="21"/>
                <w:szCs w:val="20"/>
              </w:rPr>
            </w:pPr>
          </w:p>
        </w:tc>
      </w:tr>
      <w:tr w14:paraId="586AB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639" w:type="pct"/>
          </w:tcPr>
          <w:p w14:paraId="0D021D42">
            <w:pPr>
              <w:adjustRightInd w:val="0"/>
              <w:snapToGrid w:val="0"/>
              <w:jc w:val="center"/>
              <w:rPr>
                <w:sz w:val="21"/>
                <w:szCs w:val="20"/>
              </w:rPr>
            </w:pPr>
          </w:p>
        </w:tc>
        <w:tc>
          <w:tcPr>
            <w:tcW w:w="562" w:type="pct"/>
            <w:vAlign w:val="center"/>
          </w:tcPr>
          <w:p w14:paraId="25291537">
            <w:pPr>
              <w:adjustRightInd w:val="0"/>
              <w:snapToGrid w:val="0"/>
              <w:jc w:val="center"/>
              <w:rPr>
                <w:sz w:val="21"/>
                <w:szCs w:val="20"/>
              </w:rPr>
            </w:pPr>
          </w:p>
        </w:tc>
        <w:tc>
          <w:tcPr>
            <w:tcW w:w="561" w:type="pct"/>
            <w:vAlign w:val="center"/>
          </w:tcPr>
          <w:p w14:paraId="0208FBFD">
            <w:pPr>
              <w:adjustRightInd w:val="0"/>
              <w:snapToGrid w:val="0"/>
              <w:jc w:val="center"/>
              <w:rPr>
                <w:sz w:val="21"/>
                <w:szCs w:val="20"/>
              </w:rPr>
            </w:pPr>
          </w:p>
        </w:tc>
        <w:tc>
          <w:tcPr>
            <w:tcW w:w="500" w:type="pct"/>
            <w:vAlign w:val="center"/>
          </w:tcPr>
          <w:p w14:paraId="341FA736">
            <w:pPr>
              <w:adjustRightInd w:val="0"/>
              <w:snapToGrid w:val="0"/>
              <w:jc w:val="center"/>
              <w:rPr>
                <w:sz w:val="21"/>
                <w:szCs w:val="20"/>
              </w:rPr>
            </w:pPr>
          </w:p>
        </w:tc>
        <w:tc>
          <w:tcPr>
            <w:tcW w:w="500" w:type="pct"/>
            <w:vAlign w:val="center"/>
          </w:tcPr>
          <w:p w14:paraId="3D5EA05A">
            <w:pPr>
              <w:adjustRightInd w:val="0"/>
              <w:snapToGrid w:val="0"/>
              <w:jc w:val="center"/>
              <w:rPr>
                <w:sz w:val="21"/>
                <w:szCs w:val="20"/>
              </w:rPr>
            </w:pPr>
          </w:p>
        </w:tc>
        <w:tc>
          <w:tcPr>
            <w:tcW w:w="500" w:type="pct"/>
            <w:vAlign w:val="center"/>
          </w:tcPr>
          <w:p w14:paraId="723A7F73">
            <w:pPr>
              <w:adjustRightInd w:val="0"/>
              <w:snapToGrid w:val="0"/>
              <w:jc w:val="center"/>
              <w:rPr>
                <w:sz w:val="21"/>
                <w:szCs w:val="20"/>
              </w:rPr>
            </w:pPr>
          </w:p>
        </w:tc>
        <w:tc>
          <w:tcPr>
            <w:tcW w:w="500" w:type="pct"/>
            <w:vAlign w:val="center"/>
          </w:tcPr>
          <w:p w14:paraId="4938480D">
            <w:pPr>
              <w:adjustRightInd w:val="0"/>
              <w:snapToGrid w:val="0"/>
              <w:jc w:val="center"/>
              <w:rPr>
                <w:sz w:val="21"/>
                <w:szCs w:val="20"/>
              </w:rPr>
            </w:pPr>
          </w:p>
        </w:tc>
        <w:tc>
          <w:tcPr>
            <w:tcW w:w="610" w:type="pct"/>
            <w:vAlign w:val="center"/>
          </w:tcPr>
          <w:p w14:paraId="0F30FC82">
            <w:pPr>
              <w:adjustRightInd w:val="0"/>
              <w:snapToGrid w:val="0"/>
              <w:jc w:val="center"/>
              <w:rPr>
                <w:sz w:val="21"/>
                <w:szCs w:val="20"/>
              </w:rPr>
            </w:pPr>
          </w:p>
        </w:tc>
        <w:tc>
          <w:tcPr>
            <w:tcW w:w="670" w:type="pct"/>
          </w:tcPr>
          <w:p w14:paraId="6553BC46">
            <w:pPr>
              <w:adjustRightInd w:val="0"/>
              <w:snapToGrid w:val="0"/>
              <w:jc w:val="center"/>
              <w:rPr>
                <w:sz w:val="21"/>
                <w:szCs w:val="20"/>
              </w:rPr>
            </w:pPr>
          </w:p>
        </w:tc>
      </w:tr>
      <w:tr w14:paraId="244A0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639" w:type="pct"/>
          </w:tcPr>
          <w:p w14:paraId="117BB7E9">
            <w:pPr>
              <w:adjustRightInd w:val="0"/>
              <w:snapToGrid w:val="0"/>
              <w:jc w:val="center"/>
              <w:rPr>
                <w:sz w:val="21"/>
                <w:szCs w:val="20"/>
              </w:rPr>
            </w:pPr>
          </w:p>
        </w:tc>
        <w:tc>
          <w:tcPr>
            <w:tcW w:w="562" w:type="pct"/>
            <w:vAlign w:val="center"/>
          </w:tcPr>
          <w:p w14:paraId="524B1560">
            <w:pPr>
              <w:adjustRightInd w:val="0"/>
              <w:snapToGrid w:val="0"/>
              <w:jc w:val="center"/>
              <w:rPr>
                <w:sz w:val="21"/>
                <w:szCs w:val="20"/>
              </w:rPr>
            </w:pPr>
          </w:p>
        </w:tc>
        <w:tc>
          <w:tcPr>
            <w:tcW w:w="561" w:type="pct"/>
            <w:vAlign w:val="center"/>
          </w:tcPr>
          <w:p w14:paraId="005975EF">
            <w:pPr>
              <w:adjustRightInd w:val="0"/>
              <w:snapToGrid w:val="0"/>
              <w:jc w:val="center"/>
              <w:rPr>
                <w:sz w:val="21"/>
                <w:szCs w:val="20"/>
              </w:rPr>
            </w:pPr>
          </w:p>
        </w:tc>
        <w:tc>
          <w:tcPr>
            <w:tcW w:w="500" w:type="pct"/>
            <w:vAlign w:val="center"/>
          </w:tcPr>
          <w:p w14:paraId="257FD267">
            <w:pPr>
              <w:adjustRightInd w:val="0"/>
              <w:snapToGrid w:val="0"/>
              <w:jc w:val="center"/>
              <w:rPr>
                <w:sz w:val="21"/>
                <w:szCs w:val="20"/>
              </w:rPr>
            </w:pPr>
          </w:p>
        </w:tc>
        <w:tc>
          <w:tcPr>
            <w:tcW w:w="500" w:type="pct"/>
            <w:vAlign w:val="center"/>
          </w:tcPr>
          <w:p w14:paraId="33B77AAE">
            <w:pPr>
              <w:adjustRightInd w:val="0"/>
              <w:snapToGrid w:val="0"/>
              <w:jc w:val="center"/>
              <w:rPr>
                <w:sz w:val="21"/>
                <w:szCs w:val="20"/>
              </w:rPr>
            </w:pPr>
          </w:p>
        </w:tc>
        <w:tc>
          <w:tcPr>
            <w:tcW w:w="500" w:type="pct"/>
            <w:vAlign w:val="center"/>
          </w:tcPr>
          <w:p w14:paraId="20EA4712">
            <w:pPr>
              <w:adjustRightInd w:val="0"/>
              <w:snapToGrid w:val="0"/>
              <w:jc w:val="center"/>
              <w:rPr>
                <w:sz w:val="21"/>
                <w:szCs w:val="20"/>
              </w:rPr>
            </w:pPr>
          </w:p>
        </w:tc>
        <w:tc>
          <w:tcPr>
            <w:tcW w:w="500" w:type="pct"/>
            <w:vAlign w:val="center"/>
          </w:tcPr>
          <w:p w14:paraId="56B5398E">
            <w:pPr>
              <w:adjustRightInd w:val="0"/>
              <w:snapToGrid w:val="0"/>
              <w:jc w:val="center"/>
              <w:rPr>
                <w:sz w:val="21"/>
                <w:szCs w:val="20"/>
              </w:rPr>
            </w:pPr>
          </w:p>
        </w:tc>
        <w:tc>
          <w:tcPr>
            <w:tcW w:w="610" w:type="pct"/>
            <w:vAlign w:val="center"/>
          </w:tcPr>
          <w:p w14:paraId="016DE963">
            <w:pPr>
              <w:adjustRightInd w:val="0"/>
              <w:snapToGrid w:val="0"/>
              <w:jc w:val="center"/>
              <w:rPr>
                <w:sz w:val="21"/>
                <w:szCs w:val="20"/>
              </w:rPr>
            </w:pPr>
          </w:p>
        </w:tc>
        <w:tc>
          <w:tcPr>
            <w:tcW w:w="670" w:type="pct"/>
          </w:tcPr>
          <w:p w14:paraId="709F248C">
            <w:pPr>
              <w:adjustRightInd w:val="0"/>
              <w:snapToGrid w:val="0"/>
              <w:jc w:val="center"/>
              <w:rPr>
                <w:sz w:val="21"/>
                <w:szCs w:val="20"/>
              </w:rPr>
            </w:pPr>
          </w:p>
        </w:tc>
      </w:tr>
    </w:tbl>
    <w:p w14:paraId="0284F5B0">
      <w:pPr>
        <w:widowControl/>
        <w:ind w:firstLine="480" w:firstLineChars="200"/>
        <w:rPr>
          <w:rStyle w:val="69"/>
          <w:rFonts w:ascii="Times New Roman" w:hAnsi="Times New Roman" w:cs="Times New Roman" w:eastAsiaTheme="minorEastAsia"/>
          <w:sz w:val="24"/>
          <w:szCs w:val="24"/>
        </w:rPr>
      </w:pPr>
    </w:p>
    <w:p w14:paraId="45B1B002">
      <w:pPr>
        <w:widowControl/>
        <w:ind w:firstLine="480" w:firstLineChars="200"/>
        <w:rPr>
          <w:rStyle w:val="69"/>
          <w:rFonts w:ascii="Times New Roman" w:hAnsi="Times New Roman" w:cs="Times New Roman" w:eastAsiaTheme="minorEastAsia"/>
          <w:sz w:val="24"/>
          <w:szCs w:val="24"/>
        </w:rPr>
      </w:pPr>
    </w:p>
    <w:p w14:paraId="1C95AC9B">
      <w:pPr>
        <w:widowControl/>
        <w:ind w:firstLine="480" w:firstLineChars="200"/>
        <w:rPr>
          <w:rStyle w:val="69"/>
          <w:rFonts w:ascii="Times New Roman" w:hAnsi="Times New Roman" w:cs="Times New Roman" w:eastAsiaTheme="minorEastAsia"/>
          <w:sz w:val="24"/>
          <w:szCs w:val="24"/>
        </w:rPr>
      </w:pPr>
    </w:p>
    <w:p w14:paraId="13840312">
      <w:pPr>
        <w:widowControl/>
        <w:ind w:firstLine="480" w:firstLineChars="200"/>
        <w:rPr>
          <w:rStyle w:val="69"/>
          <w:rFonts w:ascii="Times New Roman" w:hAnsi="Times New Roman" w:cs="Times New Roman" w:eastAsiaTheme="minorEastAsia"/>
          <w:sz w:val="24"/>
          <w:szCs w:val="24"/>
        </w:rPr>
      </w:pPr>
    </w:p>
    <w:p w14:paraId="41A371B9">
      <w:pPr>
        <w:widowControl/>
        <w:ind w:firstLine="480" w:firstLineChars="200"/>
        <w:rPr>
          <w:rStyle w:val="69"/>
          <w:rFonts w:ascii="Times New Roman" w:hAnsi="Times New Roman" w:cs="Times New Roman" w:eastAsiaTheme="minorEastAsia"/>
          <w:sz w:val="24"/>
          <w:szCs w:val="24"/>
        </w:rPr>
      </w:pPr>
    </w:p>
    <w:p w14:paraId="03C0229E">
      <w:pPr>
        <w:widowControl/>
        <w:rPr>
          <w:rStyle w:val="69"/>
          <w:rFonts w:ascii="Times New Roman" w:hAnsi="Times New Roman" w:cs="Times New Roman" w:eastAsiaTheme="minorEastAsia"/>
          <w:sz w:val="24"/>
          <w:szCs w:val="24"/>
        </w:rPr>
      </w:pPr>
      <w:r>
        <w:rPr>
          <w:rStyle w:val="69"/>
          <w:rFonts w:hint="eastAsia" w:ascii="Times New Roman" w:hAnsi="Times New Roman" w:cs="Times New Roman" w:eastAsiaTheme="minorEastAsia"/>
          <w:sz w:val="24"/>
          <w:szCs w:val="24"/>
        </w:rPr>
        <w:t>校准员：</w:t>
      </w:r>
      <w:r>
        <w:rPr>
          <w:rStyle w:val="69"/>
          <w:rFonts w:ascii="Times New Roman" w:hAnsi="Times New Roman" w:cs="Times New Roman" w:eastAsiaTheme="minorEastAsia"/>
          <w:sz w:val="24"/>
          <w:szCs w:val="24"/>
        </w:rPr>
        <w:tab/>
      </w:r>
      <w:r>
        <w:rPr>
          <w:rStyle w:val="69"/>
          <w:rFonts w:ascii="Times New Roman" w:hAnsi="Times New Roman" w:cs="Times New Roman" w:eastAsiaTheme="minorEastAsia"/>
          <w:sz w:val="24"/>
          <w:szCs w:val="24"/>
        </w:rPr>
        <w:tab/>
      </w:r>
      <w:r>
        <w:rPr>
          <w:rStyle w:val="69"/>
          <w:rFonts w:ascii="Times New Roman" w:hAnsi="Times New Roman" w:cs="Times New Roman" w:eastAsiaTheme="minorEastAsia"/>
          <w:sz w:val="24"/>
          <w:szCs w:val="24"/>
        </w:rPr>
        <w:tab/>
      </w:r>
      <w:r>
        <w:rPr>
          <w:rStyle w:val="69"/>
          <w:rFonts w:ascii="Times New Roman" w:hAnsi="Times New Roman" w:cs="Times New Roman" w:eastAsiaTheme="minorEastAsia"/>
          <w:sz w:val="24"/>
          <w:szCs w:val="24"/>
        </w:rPr>
        <w:tab/>
      </w:r>
      <w:r>
        <w:rPr>
          <w:rStyle w:val="69"/>
          <w:rFonts w:ascii="Times New Roman" w:hAnsi="Times New Roman" w:cs="Times New Roman" w:eastAsiaTheme="minorEastAsia"/>
          <w:sz w:val="24"/>
          <w:szCs w:val="24"/>
        </w:rPr>
        <w:tab/>
      </w:r>
      <w:r>
        <w:rPr>
          <w:rStyle w:val="69"/>
          <w:rFonts w:ascii="Times New Roman" w:hAnsi="Times New Roman" w:cs="Times New Roman" w:eastAsiaTheme="minorEastAsia"/>
          <w:sz w:val="24"/>
          <w:szCs w:val="24"/>
        </w:rPr>
        <w:tab/>
      </w:r>
      <w:r>
        <w:rPr>
          <w:rStyle w:val="69"/>
          <w:rFonts w:ascii="Times New Roman" w:hAnsi="Times New Roman" w:cs="Times New Roman" w:eastAsiaTheme="minorEastAsia"/>
          <w:sz w:val="24"/>
          <w:szCs w:val="24"/>
        </w:rPr>
        <w:tab/>
      </w:r>
      <w:r>
        <w:rPr>
          <w:rStyle w:val="69"/>
          <w:rFonts w:ascii="Times New Roman" w:hAnsi="Times New Roman" w:cs="Times New Roman" w:eastAsiaTheme="minorEastAsia"/>
          <w:sz w:val="24"/>
          <w:szCs w:val="24"/>
        </w:rPr>
        <w:tab/>
      </w:r>
      <w:r>
        <w:rPr>
          <w:rStyle w:val="69"/>
          <w:rFonts w:ascii="Times New Roman" w:hAnsi="Times New Roman" w:cs="Times New Roman" w:eastAsiaTheme="minorEastAsia"/>
          <w:sz w:val="24"/>
          <w:szCs w:val="24"/>
        </w:rPr>
        <w:tab/>
      </w:r>
      <w:r>
        <w:rPr>
          <w:rStyle w:val="69"/>
          <w:rFonts w:ascii="Times New Roman" w:hAnsi="Times New Roman" w:cs="Times New Roman" w:eastAsiaTheme="minorEastAsia"/>
          <w:sz w:val="24"/>
          <w:szCs w:val="24"/>
        </w:rPr>
        <w:tab/>
      </w:r>
      <w:r>
        <w:rPr>
          <w:rStyle w:val="69"/>
          <w:rFonts w:ascii="Times New Roman" w:hAnsi="Times New Roman" w:cs="Times New Roman" w:eastAsiaTheme="minorEastAsia"/>
          <w:sz w:val="24"/>
          <w:szCs w:val="24"/>
        </w:rPr>
        <w:tab/>
      </w:r>
      <w:r>
        <w:rPr>
          <w:rStyle w:val="69"/>
          <w:rFonts w:ascii="Times New Roman" w:hAnsi="Times New Roman" w:cs="Times New Roman" w:eastAsiaTheme="minorEastAsia"/>
          <w:sz w:val="24"/>
          <w:szCs w:val="24"/>
        </w:rPr>
        <w:tab/>
      </w:r>
      <w:r>
        <w:rPr>
          <w:rStyle w:val="69"/>
          <w:rFonts w:hint="eastAsia" w:ascii="Times New Roman" w:hAnsi="Times New Roman" w:cs="Times New Roman" w:eastAsiaTheme="minorEastAsia"/>
          <w:sz w:val="24"/>
          <w:szCs w:val="24"/>
        </w:rPr>
        <w:t>核验员：</w:t>
      </w:r>
    </w:p>
    <w:p w14:paraId="1EB0F45C">
      <w:pPr>
        <w:widowControl/>
        <w:spacing w:line="240" w:lineRule="auto"/>
        <w:jc w:val="left"/>
        <w:rPr>
          <w:rStyle w:val="34"/>
          <w:rFonts w:cs="Times New Roman" w:asciiTheme="minorEastAsia" w:hAnsiTheme="minorEastAsia" w:eastAsiaTheme="minorEastAsia"/>
          <w:sz w:val="24"/>
          <w:szCs w:val="24"/>
        </w:rPr>
      </w:pPr>
      <w:r>
        <w:rPr>
          <w:rStyle w:val="34"/>
          <w:rFonts w:cs="Times New Roman" w:asciiTheme="minorEastAsia" w:hAnsiTheme="minorEastAsia" w:eastAsiaTheme="minorEastAsia"/>
          <w:sz w:val="24"/>
          <w:szCs w:val="24"/>
        </w:rPr>
        <w:br w:type="page"/>
      </w:r>
    </w:p>
    <w:p w14:paraId="278BFEB5">
      <w:pPr>
        <w:pStyle w:val="2"/>
        <w:rPr>
          <w:rStyle w:val="34"/>
          <w:rFonts w:ascii="黑体" w:hAnsi="黑体" w:eastAsia="黑体"/>
        </w:rPr>
      </w:pPr>
      <w:bookmarkStart w:id="58" w:name="_Toc208913172"/>
      <w:r>
        <w:rPr>
          <w:rStyle w:val="34"/>
          <w:rFonts w:hint="eastAsia" w:ascii="黑体" w:hAnsi="黑体" w:eastAsia="黑体"/>
        </w:rPr>
        <w:t>附录F</w:t>
      </w:r>
      <w:bookmarkEnd w:id="58"/>
    </w:p>
    <w:p w14:paraId="26545E17">
      <w:pPr>
        <w:jc w:val="center"/>
        <w:rPr>
          <w:rFonts w:ascii="黑体" w:hAnsi="黑体" w:eastAsia="黑体"/>
          <w:sz w:val="28"/>
          <w:szCs w:val="28"/>
        </w:rPr>
      </w:pPr>
      <w:r>
        <w:rPr>
          <w:rFonts w:hint="eastAsia" w:ascii="黑体" w:hAnsi="黑体" w:eastAsia="黑体"/>
          <w:sz w:val="28"/>
          <w:szCs w:val="28"/>
        </w:rPr>
        <w:t>校准证书内页（推荐）格式样式</w:t>
      </w:r>
    </w:p>
    <w:p w14:paraId="0DAA56B3">
      <w:pPr>
        <w:adjustRightInd w:val="0"/>
        <w:snapToGrid w:val="0"/>
        <w:jc w:val="center"/>
      </w:pPr>
      <w:r>
        <w:rPr>
          <w:rFonts w:hint="eastAsia"/>
        </w:rPr>
        <w:t>校准证书第2页</w:t>
      </w:r>
    </w:p>
    <w:p w14:paraId="5ACCC94C">
      <w:pPr>
        <w:adjustRightInd w:val="0"/>
        <w:snapToGrid w:val="0"/>
        <w:jc w:val="center"/>
      </w:pPr>
      <w:bookmarkStart w:id="59" w:name="OLE_LINK11"/>
      <w:r>
        <mc:AlternateContent>
          <mc:Choice Requires="wps">
            <w:drawing>
              <wp:inline distT="0" distB="0" distL="114300" distR="114300">
                <wp:extent cx="5634355" cy="6797040"/>
                <wp:effectExtent l="0" t="0" r="23495" b="22860"/>
                <wp:docPr id="1887317569" name="文本框 49"/>
                <wp:cNvGraphicFramePr/>
                <a:graphic xmlns:a="http://schemas.openxmlformats.org/drawingml/2006/main">
                  <a:graphicData uri="http://schemas.microsoft.com/office/word/2010/wordprocessingShape">
                    <wps:wsp>
                      <wps:cNvSpPr txBox="1">
                        <a:spLocks noRot="1"/>
                      </wps:cNvSpPr>
                      <wps:spPr>
                        <a:xfrm>
                          <a:off x="0" y="0"/>
                          <a:ext cx="5634395" cy="679721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91A04A3">
                            <w:pPr>
                              <w:jc w:val="center"/>
                              <w:rPr>
                                <w:szCs w:val="21"/>
                              </w:rPr>
                            </w:pPr>
                            <w:r>
                              <w:rPr>
                                <w:rFonts w:hint="eastAsia"/>
                                <w:szCs w:val="21"/>
                              </w:rPr>
                              <w:t>证书编号：XXXX-XXXX</w:t>
                            </w:r>
                          </w:p>
                          <w:tbl>
                            <w:tblPr>
                              <w:tblStyle w:val="2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75"/>
                              <w:gridCol w:w="1816"/>
                              <w:gridCol w:w="2205"/>
                              <w:gridCol w:w="1785"/>
                              <w:gridCol w:w="1365"/>
                            </w:tblGrid>
                            <w:tr w14:paraId="29178D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46" w:type="dxa"/>
                                  <w:gridSpan w:val="5"/>
                                </w:tcPr>
                                <w:p w14:paraId="46309DD5">
                                  <w:pPr>
                                    <w:rPr>
                                      <w:szCs w:val="21"/>
                                    </w:rPr>
                                  </w:pPr>
                                  <w:r>
                                    <w:rPr>
                                      <w:rFonts w:hint="eastAsia"/>
                                      <w:szCs w:val="21"/>
                                    </w:rPr>
                                    <w:t>校准机构授权说明</w:t>
                                  </w:r>
                                </w:p>
                                <w:p w14:paraId="5223CC32">
                                  <w:pPr>
                                    <w:rPr>
                                      <w:szCs w:val="21"/>
                                    </w:rPr>
                                  </w:pPr>
                                </w:p>
                                <w:p w14:paraId="425D6F82">
                                  <w:pPr>
                                    <w:rPr>
                                      <w:szCs w:val="21"/>
                                    </w:rPr>
                                  </w:pPr>
                                </w:p>
                                <w:p w14:paraId="158BA3CC">
                                  <w:pPr>
                                    <w:rPr>
                                      <w:szCs w:val="21"/>
                                    </w:rPr>
                                  </w:pPr>
                                </w:p>
                              </w:tc>
                            </w:tr>
                            <w:tr w14:paraId="7339F0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46" w:type="dxa"/>
                                  <w:gridSpan w:val="5"/>
                                </w:tcPr>
                                <w:p w14:paraId="07917B75">
                                  <w:pPr>
                                    <w:rPr>
                                      <w:szCs w:val="21"/>
                                    </w:rPr>
                                  </w:pPr>
                                  <w:r>
                                    <w:rPr>
                                      <w:rFonts w:hint="eastAsia"/>
                                      <w:szCs w:val="21"/>
                                    </w:rPr>
                                    <w:t>校准所依据/参照的技术文件（代号、名称）</w:t>
                                  </w:r>
                                </w:p>
                              </w:tc>
                            </w:tr>
                            <w:tr w14:paraId="4CDC2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546" w:type="dxa"/>
                                  <w:gridSpan w:val="5"/>
                                </w:tcPr>
                                <w:p w14:paraId="10C7678C">
                                  <w:pPr>
                                    <w:rPr>
                                      <w:szCs w:val="21"/>
                                    </w:rPr>
                                  </w:pPr>
                                </w:p>
                              </w:tc>
                            </w:tr>
                            <w:tr w14:paraId="1ED188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46" w:type="dxa"/>
                                  <w:gridSpan w:val="5"/>
                                </w:tcPr>
                                <w:p w14:paraId="344038D8">
                                  <w:pPr>
                                    <w:rPr>
                                      <w:szCs w:val="21"/>
                                    </w:rPr>
                                  </w:pPr>
                                  <w:r>
                                    <w:rPr>
                                      <w:rFonts w:hint="eastAsia"/>
                                      <w:szCs w:val="21"/>
                                    </w:rPr>
                                    <w:t>校准环境条件及地点：</w:t>
                                  </w:r>
                                </w:p>
                              </w:tc>
                            </w:tr>
                            <w:tr w14:paraId="0AE911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546" w:type="dxa"/>
                                  <w:gridSpan w:val="5"/>
                                </w:tcPr>
                                <w:p w14:paraId="6780450B">
                                  <w:pPr>
                                    <w:rPr>
                                      <w:szCs w:val="21"/>
                                    </w:rPr>
                                  </w:pPr>
                                  <w:r>
                                    <w:rPr>
                                      <w:szCs w:val="21"/>
                                    </w:rPr>
                                    <w:t xml:space="preserve">温度： 　     </w:t>
                                  </w:r>
                                  <w:r>
                                    <w:rPr>
                                      <w:szCs w:val="21"/>
                                      <w:vertAlign w:val="superscript"/>
                                    </w:rPr>
                                    <w:t>o</w:t>
                                  </w:r>
                                  <w:r>
                                    <w:rPr>
                                      <w:szCs w:val="21"/>
                                    </w:rPr>
                                    <w:t>C　　　             　相对湿度：　　　</w:t>
                                  </w:r>
                                  <w:r>
                                    <w:rPr>
                                      <w:rFonts w:hint="eastAsia"/>
                                      <w:szCs w:val="21"/>
                                    </w:rPr>
                                    <w:t xml:space="preserve">  %</w:t>
                                  </w:r>
                                  <w:r>
                                    <w:rPr>
                                      <w:szCs w:val="21"/>
                                    </w:rPr>
                                    <w:t>　　</w:t>
                                  </w:r>
                                </w:p>
                                <w:p w14:paraId="3EE5A49E">
                                  <w:pPr>
                                    <w:rPr>
                                      <w:rFonts w:ascii="宋体" w:hAnsi="宋体" w:cs="宋体"/>
                                      <w:szCs w:val="21"/>
                                    </w:rPr>
                                  </w:pPr>
                                  <w:r>
                                    <w:rPr>
                                      <w:rFonts w:hint="eastAsia" w:ascii="宋体" w:hAnsi="宋体" w:cs="宋体"/>
                                      <w:szCs w:val="21"/>
                                    </w:rPr>
                                    <w:t>地点：　　　　　　　　　　　             其它：　</w:t>
                                  </w:r>
                                </w:p>
                              </w:tc>
                            </w:tr>
                            <w:tr w14:paraId="38E4F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46" w:type="dxa"/>
                                  <w:gridSpan w:val="5"/>
                                </w:tcPr>
                                <w:p w14:paraId="2A487609">
                                  <w:pPr>
                                    <w:rPr>
                                      <w:szCs w:val="21"/>
                                    </w:rPr>
                                  </w:pPr>
                                  <w:r>
                                    <w:rPr>
                                      <w:rFonts w:hint="eastAsia"/>
                                      <w:szCs w:val="21"/>
                                    </w:rPr>
                                    <w:t>校准使用的计量基（标）准装置（含标准物质）/主要仪器</w:t>
                                  </w:r>
                                </w:p>
                              </w:tc>
                            </w:tr>
                            <w:tr w14:paraId="2C91F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75" w:type="dxa"/>
                                  <w:tcBorders>
                                    <w:right w:val="single" w:color="auto" w:sz="4" w:space="0"/>
                                  </w:tcBorders>
                                  <w:vAlign w:val="center"/>
                                </w:tcPr>
                                <w:p w14:paraId="42A3C0D3">
                                  <w:pPr>
                                    <w:jc w:val="center"/>
                                    <w:rPr>
                                      <w:szCs w:val="21"/>
                                    </w:rPr>
                                  </w:pPr>
                                  <w:r>
                                    <w:rPr>
                                      <w:rFonts w:hint="eastAsia"/>
                                      <w:szCs w:val="21"/>
                                    </w:rPr>
                                    <w:t>名称</w:t>
                                  </w:r>
                                </w:p>
                              </w:tc>
                              <w:tc>
                                <w:tcPr>
                                  <w:tcW w:w="1816" w:type="dxa"/>
                                  <w:tcBorders>
                                    <w:left w:val="single" w:color="auto" w:sz="4" w:space="0"/>
                                  </w:tcBorders>
                                  <w:vAlign w:val="center"/>
                                </w:tcPr>
                                <w:p w14:paraId="1F29326D">
                                  <w:pPr>
                                    <w:jc w:val="center"/>
                                    <w:rPr>
                                      <w:szCs w:val="21"/>
                                    </w:rPr>
                                  </w:pPr>
                                  <w:r>
                                    <w:rPr>
                                      <w:rFonts w:hint="eastAsia"/>
                                      <w:szCs w:val="21"/>
                                    </w:rPr>
                                    <w:t>测量范围</w:t>
                                  </w:r>
                                </w:p>
                              </w:tc>
                              <w:tc>
                                <w:tcPr>
                                  <w:tcW w:w="2205" w:type="dxa"/>
                                  <w:vAlign w:val="center"/>
                                </w:tcPr>
                                <w:p w14:paraId="0A8035ED">
                                  <w:pPr>
                                    <w:jc w:val="center"/>
                                    <w:rPr>
                                      <w:szCs w:val="21"/>
                                    </w:rPr>
                                  </w:pPr>
                                  <w:r>
                                    <w:rPr>
                                      <w:rFonts w:hint="eastAsia"/>
                                      <w:szCs w:val="21"/>
                                    </w:rPr>
                                    <w:t>不确定度/准确度等级/最大允许误差</w:t>
                                  </w:r>
                                </w:p>
                              </w:tc>
                              <w:tc>
                                <w:tcPr>
                                  <w:tcW w:w="1785" w:type="dxa"/>
                                  <w:vAlign w:val="center"/>
                                </w:tcPr>
                                <w:p w14:paraId="73A16CA8">
                                  <w:pPr>
                                    <w:jc w:val="center"/>
                                    <w:rPr>
                                      <w:szCs w:val="21"/>
                                    </w:rPr>
                                  </w:pPr>
                                  <w:r>
                                    <w:rPr>
                                      <w:rFonts w:hint="eastAsia"/>
                                      <w:szCs w:val="21"/>
                                    </w:rPr>
                                    <w:t>证书编号</w:t>
                                  </w:r>
                                </w:p>
                              </w:tc>
                              <w:tc>
                                <w:tcPr>
                                  <w:tcW w:w="1365" w:type="dxa"/>
                                  <w:vAlign w:val="center"/>
                                </w:tcPr>
                                <w:p w14:paraId="12D265A4">
                                  <w:pPr>
                                    <w:jc w:val="center"/>
                                    <w:rPr>
                                      <w:szCs w:val="21"/>
                                    </w:rPr>
                                  </w:pPr>
                                  <w:r>
                                    <w:rPr>
                                      <w:rFonts w:hint="eastAsia"/>
                                      <w:szCs w:val="21"/>
                                    </w:rPr>
                                    <w:t>有效期至</w:t>
                                  </w:r>
                                </w:p>
                              </w:tc>
                            </w:tr>
                            <w:tr w14:paraId="676361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6" w:hRule="atLeast"/>
                                <w:jc w:val="center"/>
                              </w:trPr>
                              <w:tc>
                                <w:tcPr>
                                  <w:tcW w:w="1375" w:type="dxa"/>
                                  <w:tcBorders>
                                    <w:right w:val="single" w:color="auto" w:sz="4" w:space="0"/>
                                  </w:tcBorders>
                                </w:tcPr>
                                <w:p w14:paraId="774D7E19">
                                  <w:pPr>
                                    <w:jc w:val="center"/>
                                    <w:rPr>
                                      <w:szCs w:val="21"/>
                                    </w:rPr>
                                  </w:pPr>
                                </w:p>
                              </w:tc>
                              <w:tc>
                                <w:tcPr>
                                  <w:tcW w:w="1816" w:type="dxa"/>
                                  <w:tcBorders>
                                    <w:left w:val="single" w:color="auto" w:sz="4" w:space="0"/>
                                  </w:tcBorders>
                                </w:tcPr>
                                <w:p w14:paraId="72EB89ED">
                                  <w:pPr>
                                    <w:jc w:val="center"/>
                                    <w:rPr>
                                      <w:szCs w:val="21"/>
                                    </w:rPr>
                                  </w:pPr>
                                </w:p>
                              </w:tc>
                              <w:tc>
                                <w:tcPr>
                                  <w:tcW w:w="2205" w:type="dxa"/>
                                </w:tcPr>
                                <w:p w14:paraId="51174B3F">
                                  <w:pPr>
                                    <w:jc w:val="center"/>
                                    <w:rPr>
                                      <w:szCs w:val="21"/>
                                    </w:rPr>
                                  </w:pPr>
                                </w:p>
                              </w:tc>
                              <w:tc>
                                <w:tcPr>
                                  <w:tcW w:w="1785" w:type="dxa"/>
                                </w:tcPr>
                                <w:p w14:paraId="05AE9D5C">
                                  <w:pPr>
                                    <w:jc w:val="center"/>
                                    <w:rPr>
                                      <w:szCs w:val="21"/>
                                    </w:rPr>
                                  </w:pPr>
                                </w:p>
                              </w:tc>
                              <w:tc>
                                <w:tcPr>
                                  <w:tcW w:w="1365" w:type="dxa"/>
                                </w:tcPr>
                                <w:p w14:paraId="16D7945D">
                                  <w:pPr>
                                    <w:jc w:val="center"/>
                                    <w:rPr>
                                      <w:szCs w:val="21"/>
                                    </w:rPr>
                                  </w:pPr>
                                </w:p>
                              </w:tc>
                            </w:tr>
                          </w:tbl>
                          <w:p w14:paraId="6A97515B">
                            <w:pPr>
                              <w:jc w:val="center"/>
                              <w:rPr>
                                <w:szCs w:val="21"/>
                              </w:rPr>
                            </w:pPr>
                          </w:p>
                          <w:p w14:paraId="4A19003A">
                            <w:pPr>
                              <w:jc w:val="center"/>
                              <w:rPr>
                                <w:szCs w:val="21"/>
                              </w:rPr>
                            </w:pPr>
                          </w:p>
                          <w:p w14:paraId="3C2A87B0">
                            <w:pPr>
                              <w:jc w:val="center"/>
                              <w:rPr>
                                <w:szCs w:val="21"/>
                              </w:rPr>
                            </w:pPr>
                            <w:r>
                              <w:rPr>
                                <w:rFonts w:hint="eastAsia"/>
                                <w:szCs w:val="21"/>
                              </w:rPr>
                              <w:t>第x页　共x页</w:t>
                            </w:r>
                          </w:p>
                          <w:p w14:paraId="46A443E1">
                            <w:pPr>
                              <w:jc w:val="center"/>
                              <w:rPr>
                                <w:szCs w:val="21"/>
                              </w:rPr>
                            </w:pPr>
                          </w:p>
                          <w:p w14:paraId="26CCD985">
                            <w:pPr>
                              <w:jc w:val="center"/>
                              <w:rPr>
                                <w:szCs w:val="21"/>
                              </w:rPr>
                            </w:pPr>
                          </w:p>
                          <w:p w14:paraId="1BC1816F">
                            <w:pPr>
                              <w:rPr>
                                <w:szCs w:val="21"/>
                              </w:rPr>
                            </w:pPr>
                            <w:r>
                              <w:rPr>
                                <w:rFonts w:hint="eastAsia"/>
                                <w:szCs w:val="21"/>
                              </w:rPr>
                              <w:t>　　　　　　　　　　</w:t>
                            </w:r>
                          </w:p>
                          <w:p w14:paraId="698F490D">
                            <w:pPr>
                              <w:jc w:val="center"/>
                              <w:rPr>
                                <w:szCs w:val="21"/>
                              </w:rPr>
                            </w:pPr>
                          </w:p>
                          <w:p w14:paraId="38F26DBC">
                            <w:pPr>
                              <w:jc w:val="center"/>
                              <w:rPr>
                                <w:szCs w:val="21"/>
                              </w:rPr>
                            </w:pPr>
                          </w:p>
                          <w:p w14:paraId="4768A25C">
                            <w:pPr>
                              <w:jc w:val="center"/>
                              <w:rPr>
                                <w:szCs w:val="21"/>
                              </w:rPr>
                            </w:pPr>
                            <w:r>
                              <w:rPr>
                                <w:rFonts w:hint="eastAsia"/>
                                <w:szCs w:val="21"/>
                              </w:rPr>
                              <w:t>第x页　共x页</w:t>
                            </w:r>
                          </w:p>
                        </w:txbxContent>
                      </wps:txbx>
                      <wps:bodyPr vert="horz" wrap="square" anchor="t" anchorCtr="0" upright="1"/>
                    </wps:wsp>
                  </a:graphicData>
                </a:graphic>
              </wp:inline>
            </w:drawing>
          </mc:Choice>
          <mc:Fallback>
            <w:pict>
              <v:shape id="文本框 49" o:spid="_x0000_s1026" o:spt="202" type="#_x0000_t202" style="height:535.2pt;width:443.65pt;" fillcolor="#FFFFFF" filled="t" stroked="t" coordsize="21600,21600" o:gfxdata="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&#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Odq7y1gAAAAYBAAAPAAAAAAAAAAEAIAAAACIAAABk&#10;cnMvZG93bnJldi54bWxQSwECFAAUAAAACACHTuJAMnwVX0ECAACXBAAADgAAAAAAAAABACAAAAAl&#10;AQAAZHJzL2Uyb0RvYy54bWxQSwUGAAAAAAYABgBZAQAA2AUAAAAA&#10;">
                <v:fill on="t" focussize="0,0"/>
                <v:stroke color="#000000" joinstyle="miter"/>
                <v:imagedata o:title=""/>
                <o:lock v:ext="edit" rotation="t" aspectratio="f"/>
                <v:textbox>
                  <w:txbxContent>
                    <w:p w14:paraId="091A04A3">
                      <w:pPr>
                        <w:jc w:val="center"/>
                        <w:rPr>
                          <w:szCs w:val="21"/>
                        </w:rPr>
                      </w:pPr>
                      <w:r>
                        <w:rPr>
                          <w:rFonts w:hint="eastAsia"/>
                          <w:szCs w:val="21"/>
                        </w:rPr>
                        <w:t>证书编号：XXXX-XXXX</w:t>
                      </w:r>
                    </w:p>
                    <w:tbl>
                      <w:tblPr>
                        <w:tblStyle w:val="2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75"/>
                        <w:gridCol w:w="1816"/>
                        <w:gridCol w:w="2205"/>
                        <w:gridCol w:w="1785"/>
                        <w:gridCol w:w="1365"/>
                      </w:tblGrid>
                      <w:tr w14:paraId="29178D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46" w:type="dxa"/>
                            <w:gridSpan w:val="5"/>
                          </w:tcPr>
                          <w:p w14:paraId="46309DD5">
                            <w:pPr>
                              <w:rPr>
                                <w:szCs w:val="21"/>
                              </w:rPr>
                            </w:pPr>
                            <w:r>
                              <w:rPr>
                                <w:rFonts w:hint="eastAsia"/>
                                <w:szCs w:val="21"/>
                              </w:rPr>
                              <w:t>校准机构授权说明</w:t>
                            </w:r>
                          </w:p>
                          <w:p w14:paraId="5223CC32">
                            <w:pPr>
                              <w:rPr>
                                <w:szCs w:val="21"/>
                              </w:rPr>
                            </w:pPr>
                          </w:p>
                          <w:p w14:paraId="425D6F82">
                            <w:pPr>
                              <w:rPr>
                                <w:szCs w:val="21"/>
                              </w:rPr>
                            </w:pPr>
                          </w:p>
                          <w:p w14:paraId="158BA3CC">
                            <w:pPr>
                              <w:rPr>
                                <w:szCs w:val="21"/>
                              </w:rPr>
                            </w:pPr>
                          </w:p>
                        </w:tc>
                      </w:tr>
                      <w:tr w14:paraId="7339F0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46" w:type="dxa"/>
                            <w:gridSpan w:val="5"/>
                          </w:tcPr>
                          <w:p w14:paraId="07917B75">
                            <w:pPr>
                              <w:rPr>
                                <w:szCs w:val="21"/>
                              </w:rPr>
                            </w:pPr>
                            <w:r>
                              <w:rPr>
                                <w:rFonts w:hint="eastAsia"/>
                                <w:szCs w:val="21"/>
                              </w:rPr>
                              <w:t>校准所依据/参照的技术文件（代号、名称）</w:t>
                            </w:r>
                          </w:p>
                        </w:tc>
                      </w:tr>
                      <w:tr w14:paraId="4CDC2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546" w:type="dxa"/>
                            <w:gridSpan w:val="5"/>
                          </w:tcPr>
                          <w:p w14:paraId="10C7678C">
                            <w:pPr>
                              <w:rPr>
                                <w:szCs w:val="21"/>
                              </w:rPr>
                            </w:pPr>
                          </w:p>
                        </w:tc>
                      </w:tr>
                      <w:tr w14:paraId="1ED188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46" w:type="dxa"/>
                            <w:gridSpan w:val="5"/>
                          </w:tcPr>
                          <w:p w14:paraId="344038D8">
                            <w:pPr>
                              <w:rPr>
                                <w:szCs w:val="21"/>
                              </w:rPr>
                            </w:pPr>
                            <w:r>
                              <w:rPr>
                                <w:rFonts w:hint="eastAsia"/>
                                <w:szCs w:val="21"/>
                              </w:rPr>
                              <w:t>校准环境条件及地点：</w:t>
                            </w:r>
                          </w:p>
                        </w:tc>
                      </w:tr>
                      <w:tr w14:paraId="0AE911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546" w:type="dxa"/>
                            <w:gridSpan w:val="5"/>
                          </w:tcPr>
                          <w:p w14:paraId="6780450B">
                            <w:pPr>
                              <w:rPr>
                                <w:szCs w:val="21"/>
                              </w:rPr>
                            </w:pPr>
                            <w:r>
                              <w:rPr>
                                <w:szCs w:val="21"/>
                              </w:rPr>
                              <w:t xml:space="preserve">温度： 　     </w:t>
                            </w:r>
                            <w:r>
                              <w:rPr>
                                <w:szCs w:val="21"/>
                                <w:vertAlign w:val="superscript"/>
                              </w:rPr>
                              <w:t>o</w:t>
                            </w:r>
                            <w:r>
                              <w:rPr>
                                <w:szCs w:val="21"/>
                              </w:rPr>
                              <w:t>C　　　             　相对湿度：　　　</w:t>
                            </w:r>
                            <w:r>
                              <w:rPr>
                                <w:rFonts w:hint="eastAsia"/>
                                <w:szCs w:val="21"/>
                              </w:rPr>
                              <w:t xml:space="preserve">  %</w:t>
                            </w:r>
                            <w:r>
                              <w:rPr>
                                <w:szCs w:val="21"/>
                              </w:rPr>
                              <w:t>　　</w:t>
                            </w:r>
                          </w:p>
                          <w:p w14:paraId="3EE5A49E">
                            <w:pPr>
                              <w:rPr>
                                <w:rFonts w:ascii="宋体" w:hAnsi="宋体" w:cs="宋体"/>
                                <w:szCs w:val="21"/>
                              </w:rPr>
                            </w:pPr>
                            <w:r>
                              <w:rPr>
                                <w:rFonts w:hint="eastAsia" w:ascii="宋体" w:hAnsi="宋体" w:cs="宋体"/>
                                <w:szCs w:val="21"/>
                              </w:rPr>
                              <w:t>地点：　　　　　　　　　　　             其它：　</w:t>
                            </w:r>
                          </w:p>
                        </w:tc>
                      </w:tr>
                      <w:tr w14:paraId="38E4F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46" w:type="dxa"/>
                            <w:gridSpan w:val="5"/>
                          </w:tcPr>
                          <w:p w14:paraId="2A487609">
                            <w:pPr>
                              <w:rPr>
                                <w:szCs w:val="21"/>
                              </w:rPr>
                            </w:pPr>
                            <w:r>
                              <w:rPr>
                                <w:rFonts w:hint="eastAsia"/>
                                <w:szCs w:val="21"/>
                              </w:rPr>
                              <w:t>校准使用的计量基（标）准装置（含标准物质）/主要仪器</w:t>
                            </w:r>
                          </w:p>
                        </w:tc>
                      </w:tr>
                      <w:tr w14:paraId="2C91F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75" w:type="dxa"/>
                            <w:tcBorders>
                              <w:right w:val="single" w:color="auto" w:sz="4" w:space="0"/>
                            </w:tcBorders>
                            <w:vAlign w:val="center"/>
                          </w:tcPr>
                          <w:p w14:paraId="42A3C0D3">
                            <w:pPr>
                              <w:jc w:val="center"/>
                              <w:rPr>
                                <w:szCs w:val="21"/>
                              </w:rPr>
                            </w:pPr>
                            <w:r>
                              <w:rPr>
                                <w:rFonts w:hint="eastAsia"/>
                                <w:szCs w:val="21"/>
                              </w:rPr>
                              <w:t>名称</w:t>
                            </w:r>
                          </w:p>
                        </w:tc>
                        <w:tc>
                          <w:tcPr>
                            <w:tcW w:w="1816" w:type="dxa"/>
                            <w:tcBorders>
                              <w:left w:val="single" w:color="auto" w:sz="4" w:space="0"/>
                            </w:tcBorders>
                            <w:vAlign w:val="center"/>
                          </w:tcPr>
                          <w:p w14:paraId="1F29326D">
                            <w:pPr>
                              <w:jc w:val="center"/>
                              <w:rPr>
                                <w:szCs w:val="21"/>
                              </w:rPr>
                            </w:pPr>
                            <w:r>
                              <w:rPr>
                                <w:rFonts w:hint="eastAsia"/>
                                <w:szCs w:val="21"/>
                              </w:rPr>
                              <w:t>测量范围</w:t>
                            </w:r>
                          </w:p>
                        </w:tc>
                        <w:tc>
                          <w:tcPr>
                            <w:tcW w:w="2205" w:type="dxa"/>
                            <w:vAlign w:val="center"/>
                          </w:tcPr>
                          <w:p w14:paraId="0A8035ED">
                            <w:pPr>
                              <w:jc w:val="center"/>
                              <w:rPr>
                                <w:szCs w:val="21"/>
                              </w:rPr>
                            </w:pPr>
                            <w:r>
                              <w:rPr>
                                <w:rFonts w:hint="eastAsia"/>
                                <w:szCs w:val="21"/>
                              </w:rPr>
                              <w:t>不确定度/准确度等级/最大允许误差</w:t>
                            </w:r>
                          </w:p>
                        </w:tc>
                        <w:tc>
                          <w:tcPr>
                            <w:tcW w:w="1785" w:type="dxa"/>
                            <w:vAlign w:val="center"/>
                          </w:tcPr>
                          <w:p w14:paraId="73A16CA8">
                            <w:pPr>
                              <w:jc w:val="center"/>
                              <w:rPr>
                                <w:szCs w:val="21"/>
                              </w:rPr>
                            </w:pPr>
                            <w:r>
                              <w:rPr>
                                <w:rFonts w:hint="eastAsia"/>
                                <w:szCs w:val="21"/>
                              </w:rPr>
                              <w:t>证书编号</w:t>
                            </w:r>
                          </w:p>
                        </w:tc>
                        <w:tc>
                          <w:tcPr>
                            <w:tcW w:w="1365" w:type="dxa"/>
                            <w:vAlign w:val="center"/>
                          </w:tcPr>
                          <w:p w14:paraId="12D265A4">
                            <w:pPr>
                              <w:jc w:val="center"/>
                              <w:rPr>
                                <w:szCs w:val="21"/>
                              </w:rPr>
                            </w:pPr>
                            <w:r>
                              <w:rPr>
                                <w:rFonts w:hint="eastAsia"/>
                                <w:szCs w:val="21"/>
                              </w:rPr>
                              <w:t>有效期至</w:t>
                            </w:r>
                          </w:p>
                        </w:tc>
                      </w:tr>
                      <w:tr w14:paraId="676361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6" w:hRule="atLeast"/>
                          <w:jc w:val="center"/>
                        </w:trPr>
                        <w:tc>
                          <w:tcPr>
                            <w:tcW w:w="1375" w:type="dxa"/>
                            <w:tcBorders>
                              <w:right w:val="single" w:color="auto" w:sz="4" w:space="0"/>
                            </w:tcBorders>
                          </w:tcPr>
                          <w:p w14:paraId="774D7E19">
                            <w:pPr>
                              <w:jc w:val="center"/>
                              <w:rPr>
                                <w:szCs w:val="21"/>
                              </w:rPr>
                            </w:pPr>
                          </w:p>
                        </w:tc>
                        <w:tc>
                          <w:tcPr>
                            <w:tcW w:w="1816" w:type="dxa"/>
                            <w:tcBorders>
                              <w:left w:val="single" w:color="auto" w:sz="4" w:space="0"/>
                            </w:tcBorders>
                          </w:tcPr>
                          <w:p w14:paraId="72EB89ED">
                            <w:pPr>
                              <w:jc w:val="center"/>
                              <w:rPr>
                                <w:szCs w:val="21"/>
                              </w:rPr>
                            </w:pPr>
                          </w:p>
                        </w:tc>
                        <w:tc>
                          <w:tcPr>
                            <w:tcW w:w="2205" w:type="dxa"/>
                          </w:tcPr>
                          <w:p w14:paraId="51174B3F">
                            <w:pPr>
                              <w:jc w:val="center"/>
                              <w:rPr>
                                <w:szCs w:val="21"/>
                              </w:rPr>
                            </w:pPr>
                          </w:p>
                        </w:tc>
                        <w:tc>
                          <w:tcPr>
                            <w:tcW w:w="1785" w:type="dxa"/>
                          </w:tcPr>
                          <w:p w14:paraId="05AE9D5C">
                            <w:pPr>
                              <w:jc w:val="center"/>
                              <w:rPr>
                                <w:szCs w:val="21"/>
                              </w:rPr>
                            </w:pPr>
                          </w:p>
                        </w:tc>
                        <w:tc>
                          <w:tcPr>
                            <w:tcW w:w="1365" w:type="dxa"/>
                          </w:tcPr>
                          <w:p w14:paraId="16D7945D">
                            <w:pPr>
                              <w:jc w:val="center"/>
                              <w:rPr>
                                <w:szCs w:val="21"/>
                              </w:rPr>
                            </w:pPr>
                          </w:p>
                        </w:tc>
                      </w:tr>
                    </w:tbl>
                    <w:p w14:paraId="6A97515B">
                      <w:pPr>
                        <w:jc w:val="center"/>
                        <w:rPr>
                          <w:szCs w:val="21"/>
                        </w:rPr>
                      </w:pPr>
                    </w:p>
                    <w:p w14:paraId="4A19003A">
                      <w:pPr>
                        <w:jc w:val="center"/>
                        <w:rPr>
                          <w:szCs w:val="21"/>
                        </w:rPr>
                      </w:pPr>
                    </w:p>
                    <w:p w14:paraId="3C2A87B0">
                      <w:pPr>
                        <w:jc w:val="center"/>
                        <w:rPr>
                          <w:szCs w:val="21"/>
                        </w:rPr>
                      </w:pPr>
                      <w:r>
                        <w:rPr>
                          <w:rFonts w:hint="eastAsia"/>
                          <w:szCs w:val="21"/>
                        </w:rPr>
                        <w:t>第x页　共x页</w:t>
                      </w:r>
                    </w:p>
                    <w:p w14:paraId="46A443E1">
                      <w:pPr>
                        <w:jc w:val="center"/>
                        <w:rPr>
                          <w:szCs w:val="21"/>
                        </w:rPr>
                      </w:pPr>
                    </w:p>
                    <w:p w14:paraId="26CCD985">
                      <w:pPr>
                        <w:jc w:val="center"/>
                        <w:rPr>
                          <w:szCs w:val="21"/>
                        </w:rPr>
                      </w:pPr>
                    </w:p>
                    <w:p w14:paraId="1BC1816F">
                      <w:pPr>
                        <w:rPr>
                          <w:szCs w:val="21"/>
                        </w:rPr>
                      </w:pPr>
                      <w:r>
                        <w:rPr>
                          <w:rFonts w:hint="eastAsia"/>
                          <w:szCs w:val="21"/>
                        </w:rPr>
                        <w:t>　　　　　　　　　　</w:t>
                      </w:r>
                    </w:p>
                    <w:p w14:paraId="698F490D">
                      <w:pPr>
                        <w:jc w:val="center"/>
                        <w:rPr>
                          <w:szCs w:val="21"/>
                        </w:rPr>
                      </w:pPr>
                    </w:p>
                    <w:p w14:paraId="38F26DBC">
                      <w:pPr>
                        <w:jc w:val="center"/>
                        <w:rPr>
                          <w:szCs w:val="21"/>
                        </w:rPr>
                      </w:pPr>
                    </w:p>
                    <w:p w14:paraId="4768A25C">
                      <w:pPr>
                        <w:jc w:val="center"/>
                        <w:rPr>
                          <w:szCs w:val="21"/>
                        </w:rPr>
                      </w:pPr>
                      <w:r>
                        <w:rPr>
                          <w:rFonts w:hint="eastAsia"/>
                          <w:szCs w:val="21"/>
                        </w:rPr>
                        <w:t>第x页　共x页</w:t>
                      </w:r>
                    </w:p>
                  </w:txbxContent>
                </v:textbox>
                <w10:wrap type="none"/>
                <w10:anchorlock/>
              </v:shape>
            </w:pict>
          </mc:Fallback>
        </mc:AlternateContent>
      </w:r>
      <w:bookmarkEnd w:id="59"/>
    </w:p>
    <w:p w14:paraId="7D535241">
      <w:pPr>
        <w:jc w:val="center"/>
      </w:pPr>
      <w:r>
        <w:rPr>
          <w:rFonts w:hint="eastAsia" w:ascii="宋体" w:hAnsi="宋体"/>
        </w:rPr>
        <w:t>校准</w:t>
      </w:r>
      <w:r>
        <w:rPr>
          <w:rFonts w:ascii="宋体" w:hAnsi="宋体"/>
        </w:rPr>
        <w:t>证书</w:t>
      </w:r>
      <w:r>
        <w:rPr>
          <w:rFonts w:hint="eastAsia" w:ascii="宋体" w:hAnsi="宋体"/>
        </w:rPr>
        <w:t>第3页</w:t>
      </w:r>
      <w:bookmarkStart w:id="60" w:name="OLE_LINK12"/>
      <w:r>
        <mc:AlternateContent>
          <mc:Choice Requires="wps">
            <w:drawing>
              <wp:inline distT="0" distB="0" distL="114300" distR="114300">
                <wp:extent cx="5607685" cy="7764145"/>
                <wp:effectExtent l="0" t="0" r="12065" b="27305"/>
                <wp:docPr id="1459095651" name="文本框 50"/>
                <wp:cNvGraphicFramePr/>
                <a:graphic xmlns:a="http://schemas.openxmlformats.org/drawingml/2006/main">
                  <a:graphicData uri="http://schemas.microsoft.com/office/word/2010/wordprocessingShape">
                    <wps:wsp>
                      <wps:cNvSpPr txBox="1">
                        <a:spLocks noRot="1"/>
                      </wps:cNvSpPr>
                      <wps:spPr>
                        <a:xfrm>
                          <a:off x="0" y="0"/>
                          <a:ext cx="5607968" cy="776447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4671FA8">
                            <w:pPr>
                              <w:jc w:val="center"/>
                              <w:rPr>
                                <w:szCs w:val="21"/>
                              </w:rPr>
                            </w:pPr>
                            <w:r>
                              <w:rPr>
                                <w:rFonts w:hAnsi="宋体"/>
                                <w:szCs w:val="21"/>
                              </w:rPr>
                              <w:t>证书编号：</w:t>
                            </w:r>
                            <w:r>
                              <w:rPr>
                                <w:szCs w:val="21"/>
                              </w:rPr>
                              <w:t>XXXX-XXXX</w:t>
                            </w:r>
                          </w:p>
                          <w:p w14:paraId="53362800">
                            <w:pPr>
                              <w:jc w:val="center"/>
                              <w:rPr>
                                <w:rFonts w:hAnsi="宋体"/>
                                <w:szCs w:val="21"/>
                              </w:rPr>
                            </w:pPr>
                            <w:r>
                              <w:rPr>
                                <w:rFonts w:hint="eastAsia" w:hAnsi="宋体"/>
                                <w:szCs w:val="21"/>
                              </w:rPr>
                              <w:t>校准</w:t>
                            </w:r>
                            <w:r>
                              <w:rPr>
                                <w:rFonts w:hAnsi="宋体"/>
                                <w:szCs w:val="21"/>
                              </w:rPr>
                              <w:t>结果</w:t>
                            </w:r>
                          </w:p>
                          <w:p w14:paraId="5FA97C23">
                            <w:pPr>
                              <w:adjustRightInd w:val="0"/>
                              <w:snapToGrid w:val="0"/>
                              <w:rPr>
                                <w:szCs w:val="21"/>
                              </w:rPr>
                            </w:pPr>
                            <w:r>
                              <w:rPr>
                                <w:rFonts w:hint="eastAsia"/>
                                <w:szCs w:val="21"/>
                              </w:rPr>
                              <w:t>校准结果如下表：</w:t>
                            </w:r>
                          </w:p>
                          <w:p w14:paraId="414FA209">
                            <w:r>
                              <w:rPr>
                                <w:rFonts w:hint="eastAsia"/>
                              </w:rPr>
                              <w:t>1.泵流量稳定性</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7"/>
                              <w:gridCol w:w="4267"/>
                            </w:tblGrid>
                            <w:tr w14:paraId="403B0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7" w:type="dxa"/>
                                </w:tcPr>
                                <w:p w14:paraId="220A099F">
                                  <w:r>
                                    <w:rPr>
                                      <w:rFonts w:hint="eastAsia"/>
                                    </w:rPr>
                                    <w:t>校准项目</w:t>
                                  </w:r>
                                </w:p>
                              </w:tc>
                              <w:tc>
                                <w:tcPr>
                                  <w:tcW w:w="4267" w:type="dxa"/>
                                </w:tcPr>
                                <w:p w14:paraId="761FE257">
                                  <w:r>
                                    <w:rPr>
                                      <w:rFonts w:hint="eastAsia"/>
                                    </w:rPr>
                                    <w:t>校准结果</w:t>
                                  </w:r>
                                </w:p>
                              </w:tc>
                            </w:tr>
                            <w:tr w14:paraId="4B35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7" w:type="dxa"/>
                                </w:tcPr>
                                <w:p w14:paraId="343BF797">
                                  <w:r>
                                    <w:rPr>
                                      <w:rFonts w:hint="eastAsia"/>
                                    </w:rPr>
                                    <w:t>泵流量稳定性</w:t>
                                  </w:r>
                                </w:p>
                              </w:tc>
                              <w:tc>
                                <w:tcPr>
                                  <w:tcW w:w="4267" w:type="dxa"/>
                                </w:tcPr>
                                <w:p w14:paraId="7B962C7A"/>
                              </w:tc>
                            </w:tr>
                          </w:tbl>
                          <w:p w14:paraId="06F3B161">
                            <w:r>
                              <w:rPr>
                                <w:rFonts w:hint="eastAsia"/>
                              </w:rPr>
                              <w:t>2.检测器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1"/>
                              <w:gridCol w:w="2839"/>
                              <w:gridCol w:w="2839"/>
                            </w:tblGrid>
                            <w:tr w14:paraId="7600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0" w:type="dxa"/>
                                  <w:gridSpan w:val="2"/>
                                  <w:vAlign w:val="center"/>
                                </w:tcPr>
                                <w:p w14:paraId="6E9A3DF0">
                                  <w:pPr>
                                    <w:jc w:val="center"/>
                                  </w:pPr>
                                  <w:r>
                                    <w:rPr>
                                      <w:rFonts w:hint="eastAsia"/>
                                    </w:rPr>
                                    <w:t>校准项目</w:t>
                                  </w:r>
                                </w:p>
                              </w:tc>
                              <w:tc>
                                <w:tcPr>
                                  <w:tcW w:w="2839" w:type="dxa"/>
                                  <w:vAlign w:val="center"/>
                                </w:tcPr>
                                <w:p w14:paraId="2E4707BD">
                                  <w:pPr>
                                    <w:jc w:val="center"/>
                                  </w:pPr>
                                  <w:r>
                                    <w:rPr>
                                      <w:rFonts w:hint="eastAsia"/>
                                    </w:rPr>
                                    <w:t>校准结果</w:t>
                                  </w:r>
                                </w:p>
                              </w:tc>
                            </w:tr>
                            <w:tr w14:paraId="3758E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Merge w:val="restart"/>
                                  <w:vAlign w:val="center"/>
                                </w:tcPr>
                                <w:p w14:paraId="14BA791B">
                                  <w:pPr>
                                    <w:jc w:val="center"/>
                                  </w:pPr>
                                  <w:r>
                                    <w:rPr>
                                      <w:rFonts w:hint="eastAsia"/>
                                    </w:rPr>
                                    <w:t>极限噪音/%FS</w:t>
                                  </w:r>
                                </w:p>
                              </w:tc>
                              <w:tc>
                                <w:tcPr>
                                  <w:tcW w:w="2839" w:type="dxa"/>
                                  <w:vAlign w:val="center"/>
                                </w:tcPr>
                                <w:p w14:paraId="50C4BEC6">
                                  <w:pPr>
                                    <w:jc w:val="center"/>
                                  </w:pPr>
                                  <w:r>
                                    <w:rPr>
                                      <w:rFonts w:hint="eastAsia"/>
                                    </w:rPr>
                                    <w:t>示差检测器</w:t>
                                  </w:r>
                                </w:p>
                              </w:tc>
                              <w:tc>
                                <w:tcPr>
                                  <w:tcW w:w="2839" w:type="dxa"/>
                                  <w:vAlign w:val="center"/>
                                </w:tcPr>
                                <w:p w14:paraId="26D79416">
                                  <w:pPr>
                                    <w:jc w:val="center"/>
                                  </w:pPr>
                                </w:p>
                              </w:tc>
                            </w:tr>
                            <w:tr w14:paraId="06CA0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Merge w:val="continue"/>
                                  <w:vAlign w:val="center"/>
                                </w:tcPr>
                                <w:p w14:paraId="68C4A569">
                                  <w:pPr>
                                    <w:jc w:val="center"/>
                                  </w:pPr>
                                </w:p>
                              </w:tc>
                              <w:tc>
                                <w:tcPr>
                                  <w:tcW w:w="2839" w:type="dxa"/>
                                  <w:vAlign w:val="center"/>
                                </w:tcPr>
                                <w:p w14:paraId="5B0AA4F4">
                                  <w:pPr>
                                    <w:jc w:val="center"/>
                                  </w:pPr>
                                  <w:r>
                                    <w:rPr>
                                      <w:rFonts w:hint="eastAsia"/>
                                    </w:rPr>
                                    <w:t>紫外检测器</w:t>
                                  </w:r>
                                </w:p>
                              </w:tc>
                              <w:tc>
                                <w:tcPr>
                                  <w:tcW w:w="2839" w:type="dxa"/>
                                  <w:vAlign w:val="center"/>
                                </w:tcPr>
                                <w:p w14:paraId="42670F7D">
                                  <w:pPr>
                                    <w:jc w:val="center"/>
                                  </w:pPr>
                                </w:p>
                              </w:tc>
                            </w:tr>
                            <w:tr w14:paraId="5EDF3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Merge w:val="continue"/>
                                  <w:vAlign w:val="center"/>
                                </w:tcPr>
                                <w:p w14:paraId="0FC80FA2">
                                  <w:pPr>
                                    <w:jc w:val="center"/>
                                  </w:pPr>
                                </w:p>
                              </w:tc>
                              <w:tc>
                                <w:tcPr>
                                  <w:tcW w:w="2839" w:type="dxa"/>
                                  <w:vAlign w:val="center"/>
                                </w:tcPr>
                                <w:p w14:paraId="090C6A09">
                                  <w:pPr>
                                    <w:jc w:val="center"/>
                                  </w:pPr>
                                  <w:r>
                                    <w:rPr>
                                      <w:rFonts w:hint="eastAsia"/>
                                    </w:rPr>
                                    <w:t>光散射检测器</w:t>
                                  </w:r>
                                </w:p>
                              </w:tc>
                              <w:tc>
                                <w:tcPr>
                                  <w:tcW w:w="2839" w:type="dxa"/>
                                  <w:vAlign w:val="center"/>
                                </w:tcPr>
                                <w:p w14:paraId="3C4C86E1">
                                  <w:pPr>
                                    <w:jc w:val="center"/>
                                  </w:pPr>
                                </w:p>
                              </w:tc>
                            </w:tr>
                            <w:tr w14:paraId="3BF0E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Merge w:val="restart"/>
                                  <w:vAlign w:val="center"/>
                                </w:tcPr>
                                <w:p w14:paraId="33F33552">
                                  <w:pPr>
                                    <w:jc w:val="center"/>
                                  </w:pPr>
                                  <w:r>
                                    <w:rPr>
                                      <w:rFonts w:hint="eastAsia"/>
                                    </w:rPr>
                                    <w:t>基线漂移/%FS·h</w:t>
                                  </w:r>
                                  <w:r>
                                    <w:rPr>
                                      <w:rFonts w:hint="eastAsia"/>
                                      <w:vertAlign w:val="superscript"/>
                                    </w:rPr>
                                    <w:t>-1</w:t>
                                  </w:r>
                                </w:p>
                              </w:tc>
                              <w:tc>
                                <w:tcPr>
                                  <w:tcW w:w="2839" w:type="dxa"/>
                                  <w:vAlign w:val="center"/>
                                </w:tcPr>
                                <w:p w14:paraId="1451580B">
                                  <w:pPr>
                                    <w:jc w:val="center"/>
                                  </w:pPr>
                                  <w:r>
                                    <w:rPr>
                                      <w:rFonts w:hint="eastAsia"/>
                                    </w:rPr>
                                    <w:t>示差检测器</w:t>
                                  </w:r>
                                </w:p>
                              </w:tc>
                              <w:tc>
                                <w:tcPr>
                                  <w:tcW w:w="2839" w:type="dxa"/>
                                  <w:vAlign w:val="center"/>
                                </w:tcPr>
                                <w:p w14:paraId="0FAB5BE4">
                                  <w:pPr>
                                    <w:jc w:val="center"/>
                                  </w:pPr>
                                </w:p>
                              </w:tc>
                            </w:tr>
                            <w:tr w14:paraId="178F9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Merge w:val="continue"/>
                                  <w:vAlign w:val="center"/>
                                </w:tcPr>
                                <w:p w14:paraId="250058AF"/>
                              </w:tc>
                              <w:tc>
                                <w:tcPr>
                                  <w:tcW w:w="2839" w:type="dxa"/>
                                  <w:vAlign w:val="center"/>
                                </w:tcPr>
                                <w:p w14:paraId="1956E727">
                                  <w:pPr>
                                    <w:jc w:val="center"/>
                                  </w:pPr>
                                  <w:r>
                                    <w:rPr>
                                      <w:rFonts w:hint="eastAsia"/>
                                    </w:rPr>
                                    <w:t>紫外检测器</w:t>
                                  </w:r>
                                </w:p>
                              </w:tc>
                              <w:tc>
                                <w:tcPr>
                                  <w:tcW w:w="2839" w:type="dxa"/>
                                  <w:vAlign w:val="center"/>
                                </w:tcPr>
                                <w:p w14:paraId="35EE71C6">
                                  <w:pPr>
                                    <w:jc w:val="center"/>
                                  </w:pPr>
                                </w:p>
                              </w:tc>
                            </w:tr>
                            <w:tr w14:paraId="2C0ED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Merge w:val="continue"/>
                                  <w:vAlign w:val="center"/>
                                </w:tcPr>
                                <w:p w14:paraId="0D0F6C51"/>
                              </w:tc>
                              <w:tc>
                                <w:tcPr>
                                  <w:tcW w:w="2839" w:type="dxa"/>
                                  <w:vAlign w:val="center"/>
                                </w:tcPr>
                                <w:p w14:paraId="23BB0890">
                                  <w:pPr>
                                    <w:jc w:val="center"/>
                                  </w:pPr>
                                  <w:r>
                                    <w:rPr>
                                      <w:rFonts w:hint="eastAsia"/>
                                    </w:rPr>
                                    <w:t>光散射检测器</w:t>
                                  </w:r>
                                </w:p>
                              </w:tc>
                              <w:tc>
                                <w:tcPr>
                                  <w:tcW w:w="2839" w:type="dxa"/>
                                  <w:vAlign w:val="center"/>
                                </w:tcPr>
                                <w:p w14:paraId="59444B70">
                                  <w:pPr>
                                    <w:jc w:val="center"/>
                                  </w:pPr>
                                </w:p>
                              </w:tc>
                            </w:tr>
                          </w:tbl>
                          <w:p w14:paraId="62AE3B23">
                            <w:r>
                              <w:rPr>
                                <w:rFonts w:hint="eastAsia"/>
                              </w:rPr>
                              <w:t>3.测量示值误差及重复性</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4"/>
                              <w:gridCol w:w="1707"/>
                              <w:gridCol w:w="1359"/>
                              <w:gridCol w:w="3624"/>
                            </w:tblGrid>
                            <w:tr w14:paraId="7093A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5" w:type="pct"/>
                                </w:tcPr>
                                <w:p w14:paraId="3025C712">
                                  <w:r>
                                    <w:rPr>
                                      <w:rFonts w:hint="eastAsia"/>
                                    </w:rPr>
                                    <w:t>校准项目</w:t>
                                  </w:r>
                                </w:p>
                              </w:tc>
                              <w:tc>
                                <w:tcPr>
                                  <w:tcW w:w="976" w:type="pct"/>
                                </w:tcPr>
                                <w:p w14:paraId="3452B91C">
                                  <w:r>
                                    <w:rPr>
                                      <w:rFonts w:hint="eastAsia"/>
                                    </w:rPr>
                                    <w:t>示值误差</w:t>
                                  </w:r>
                                </w:p>
                              </w:tc>
                              <w:tc>
                                <w:tcPr>
                                  <w:tcW w:w="777" w:type="pct"/>
                                </w:tcPr>
                                <w:p w14:paraId="64942A28">
                                  <w:r>
                                    <w:rPr>
                                      <w:rFonts w:hint="eastAsia"/>
                                    </w:rPr>
                                    <w:t>重复性</w:t>
                                  </w:r>
                                </w:p>
                              </w:tc>
                              <w:tc>
                                <w:tcPr>
                                  <w:tcW w:w="2073" w:type="pct"/>
                                </w:tcPr>
                                <w:p w14:paraId="23222935">
                                  <w:r>
                                    <w:rPr>
                                      <w:rFonts w:hint="eastAsia"/>
                                    </w:rPr>
                                    <w:t>扩展不确定度（</w:t>
                                  </w:r>
                                  <w:r>
                                    <w:rPr>
                                      <w:rFonts w:hint="eastAsia"/>
                                      <w:i/>
                                      <w:iCs/>
                                    </w:rPr>
                                    <w:t>k</w:t>
                                  </w:r>
                                  <w:r>
                                    <w:rPr>
                                      <w:rFonts w:hint="eastAsia"/>
                                    </w:rPr>
                                    <w:t>=2）</w:t>
                                  </w:r>
                                </w:p>
                              </w:tc>
                            </w:tr>
                            <w:tr w14:paraId="5A8F2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5" w:type="pct"/>
                                </w:tcPr>
                                <w:p w14:paraId="6B6A4AD0">
                                  <w:r>
                                    <w:rPr>
                                      <w:rFonts w:hint="eastAsia"/>
                                    </w:rPr>
                                    <w:t>重均分子量</w:t>
                                  </w:r>
                                </w:p>
                              </w:tc>
                              <w:tc>
                                <w:tcPr>
                                  <w:tcW w:w="976" w:type="pct"/>
                                </w:tcPr>
                                <w:p w14:paraId="67C4FFAD"/>
                              </w:tc>
                              <w:tc>
                                <w:tcPr>
                                  <w:tcW w:w="777" w:type="pct"/>
                                </w:tcPr>
                                <w:p w14:paraId="0B918244"/>
                              </w:tc>
                              <w:tc>
                                <w:tcPr>
                                  <w:tcW w:w="2073" w:type="pct"/>
                                </w:tcPr>
                                <w:p w14:paraId="683F2C30"/>
                              </w:tc>
                            </w:tr>
                            <w:tr w14:paraId="47E5A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5" w:type="pct"/>
                                </w:tcPr>
                                <w:p w14:paraId="35372725">
                                  <w:r>
                                    <w:rPr>
                                      <w:rFonts w:hint="eastAsia"/>
                                    </w:rPr>
                                    <w:t>回转半径</w:t>
                                  </w:r>
                                </w:p>
                              </w:tc>
                              <w:tc>
                                <w:tcPr>
                                  <w:tcW w:w="976" w:type="pct"/>
                                </w:tcPr>
                                <w:p w14:paraId="1FE59155"/>
                              </w:tc>
                              <w:tc>
                                <w:tcPr>
                                  <w:tcW w:w="777" w:type="pct"/>
                                </w:tcPr>
                                <w:p w14:paraId="45052A04"/>
                              </w:tc>
                              <w:tc>
                                <w:tcPr>
                                  <w:tcW w:w="2073" w:type="pct"/>
                                </w:tcPr>
                                <w:p w14:paraId="7229C7DF"/>
                              </w:tc>
                            </w:tr>
                          </w:tbl>
                          <w:p w14:paraId="7A7827F1">
                            <w:pPr>
                              <w:jc w:val="center"/>
                              <w:rPr>
                                <w:szCs w:val="21"/>
                              </w:rPr>
                            </w:pPr>
                            <w:r>
                              <w:rPr>
                                <w:rFonts w:hint="eastAsia"/>
                                <w:szCs w:val="21"/>
                              </w:rPr>
                              <w:t>以下空白</w:t>
                            </w:r>
                          </w:p>
                          <w:p w14:paraId="277E7743">
                            <w:pPr>
                              <w:jc w:val="center"/>
                              <w:rPr>
                                <w:rFonts w:hAnsi="宋体"/>
                                <w:szCs w:val="21"/>
                              </w:rPr>
                            </w:pPr>
                          </w:p>
                          <w:p w14:paraId="0F16790C">
                            <w:pPr>
                              <w:ind w:firstLine="240" w:firstLineChars="100"/>
                              <w:rPr>
                                <w:szCs w:val="21"/>
                              </w:rPr>
                            </w:pPr>
                            <w:r>
                              <w:rPr>
                                <w:rFonts w:hint="eastAsia"/>
                                <w:szCs w:val="21"/>
                              </w:rPr>
                              <w:t>声明：1、本单位仅对加盖“×××校准专用章”的完整证书负责。</w:t>
                            </w:r>
                          </w:p>
                          <w:p w14:paraId="6C2E888A">
                            <w:pPr>
                              <w:ind w:left="840"/>
                              <w:rPr>
                                <w:szCs w:val="21"/>
                              </w:rPr>
                            </w:pPr>
                            <w:r>
                              <w:rPr>
                                <w:rFonts w:hint="eastAsia"/>
                                <w:szCs w:val="21"/>
                              </w:rPr>
                              <w:t>2、本证书的校准结果仅对所校准器具有效。</w:t>
                            </w:r>
                          </w:p>
                          <w:p w14:paraId="165C2983">
                            <w:pPr>
                              <w:ind w:left="840"/>
                              <w:rPr>
                                <w:szCs w:val="24"/>
                              </w:rPr>
                            </w:pPr>
                          </w:p>
                          <w:p w14:paraId="009CA24F">
                            <w:pPr>
                              <w:ind w:left="840"/>
                              <w:rPr>
                                <w:rFonts w:hAnsi="宋体"/>
                                <w:szCs w:val="21"/>
                              </w:rPr>
                            </w:pPr>
                            <w:r>
                              <w:rPr>
                                <w:rFonts w:hint="eastAsia"/>
                                <w:szCs w:val="24"/>
                              </w:rPr>
                              <w:t xml:space="preserve">校准员：                 核验员： </w:t>
                            </w:r>
                          </w:p>
                          <w:p w14:paraId="2F6D7115">
                            <w:pPr>
                              <w:jc w:val="center"/>
                              <w:rPr>
                                <w:szCs w:val="24"/>
                              </w:rPr>
                            </w:pPr>
                            <w:r>
                              <w:rPr>
                                <w:rFonts w:hAnsi="宋体"/>
                                <w:szCs w:val="21"/>
                              </w:rPr>
                              <w:t>第</w:t>
                            </w:r>
                            <w:r>
                              <w:rPr>
                                <w:szCs w:val="21"/>
                              </w:rPr>
                              <w:t>x</w:t>
                            </w:r>
                            <w:r>
                              <w:rPr>
                                <w:rFonts w:hAnsi="宋体"/>
                                <w:szCs w:val="21"/>
                              </w:rPr>
                              <w:t>页　共</w:t>
                            </w:r>
                            <w:r>
                              <w:rPr>
                                <w:szCs w:val="21"/>
                              </w:rPr>
                              <w:t>x</w:t>
                            </w:r>
                            <w:r>
                              <w:rPr>
                                <w:rFonts w:hAnsi="宋体"/>
                                <w:szCs w:val="21"/>
                              </w:rPr>
                              <w:t>页</w:t>
                            </w:r>
                          </w:p>
                        </w:txbxContent>
                      </wps:txbx>
                      <wps:bodyPr wrap="square" upright="1"/>
                    </wps:wsp>
                  </a:graphicData>
                </a:graphic>
              </wp:inline>
            </w:drawing>
          </mc:Choice>
          <mc:Fallback>
            <w:pict>
              <v:shape id="文本框 50" o:spid="_x0000_s1026" o:spt="202" type="#_x0000_t202" style="height:611.35pt;width:441.55pt;" fillcolor="#FFFFFF" filled="t" stroked="t" coordsize="21600,21600" o:gfxdata="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vbJD9YAAAAGAQAADwAAAAAAAAABACAAAAAiAAAAZHJzL2Rvd25yZXYueG1sUEsBAhQA&#10;FAAAAAgAh07iQI/Sl5UtAgAAcgQAAA4AAAAAAAAAAQAgAAAAJQEAAGRycy9lMm9Eb2MueG1sUEsF&#10;BgAAAAAGAAYAWQEAAMQFAAAAAA==&#10;">
                <v:fill on="t" focussize="0,0"/>
                <v:stroke color="#000000" joinstyle="miter"/>
                <v:imagedata o:title=""/>
                <o:lock v:ext="edit" rotation="t" aspectratio="f"/>
                <v:textbox>
                  <w:txbxContent>
                    <w:p w14:paraId="14671FA8">
                      <w:pPr>
                        <w:jc w:val="center"/>
                        <w:rPr>
                          <w:szCs w:val="21"/>
                        </w:rPr>
                      </w:pPr>
                      <w:r>
                        <w:rPr>
                          <w:rFonts w:hAnsi="宋体"/>
                          <w:szCs w:val="21"/>
                        </w:rPr>
                        <w:t>证书编号：</w:t>
                      </w:r>
                      <w:r>
                        <w:rPr>
                          <w:szCs w:val="21"/>
                        </w:rPr>
                        <w:t>XXXX-XXXX</w:t>
                      </w:r>
                    </w:p>
                    <w:p w14:paraId="53362800">
                      <w:pPr>
                        <w:jc w:val="center"/>
                        <w:rPr>
                          <w:rFonts w:hAnsi="宋体"/>
                          <w:szCs w:val="21"/>
                        </w:rPr>
                      </w:pPr>
                      <w:r>
                        <w:rPr>
                          <w:rFonts w:hint="eastAsia" w:hAnsi="宋体"/>
                          <w:szCs w:val="21"/>
                        </w:rPr>
                        <w:t>校准</w:t>
                      </w:r>
                      <w:r>
                        <w:rPr>
                          <w:rFonts w:hAnsi="宋体"/>
                          <w:szCs w:val="21"/>
                        </w:rPr>
                        <w:t>结果</w:t>
                      </w:r>
                    </w:p>
                    <w:p w14:paraId="5FA97C23">
                      <w:pPr>
                        <w:adjustRightInd w:val="0"/>
                        <w:snapToGrid w:val="0"/>
                        <w:rPr>
                          <w:szCs w:val="21"/>
                        </w:rPr>
                      </w:pPr>
                      <w:r>
                        <w:rPr>
                          <w:rFonts w:hint="eastAsia"/>
                          <w:szCs w:val="21"/>
                        </w:rPr>
                        <w:t>校准结果如下表：</w:t>
                      </w:r>
                    </w:p>
                    <w:p w14:paraId="414FA209">
                      <w:r>
                        <w:rPr>
                          <w:rFonts w:hint="eastAsia"/>
                        </w:rPr>
                        <w:t>1.泵流量稳定性</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7"/>
                        <w:gridCol w:w="4267"/>
                      </w:tblGrid>
                      <w:tr w14:paraId="403B0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7" w:type="dxa"/>
                          </w:tcPr>
                          <w:p w14:paraId="220A099F">
                            <w:r>
                              <w:rPr>
                                <w:rFonts w:hint="eastAsia"/>
                              </w:rPr>
                              <w:t>校准项目</w:t>
                            </w:r>
                          </w:p>
                        </w:tc>
                        <w:tc>
                          <w:tcPr>
                            <w:tcW w:w="4267" w:type="dxa"/>
                          </w:tcPr>
                          <w:p w14:paraId="761FE257">
                            <w:r>
                              <w:rPr>
                                <w:rFonts w:hint="eastAsia"/>
                              </w:rPr>
                              <w:t>校准结果</w:t>
                            </w:r>
                          </w:p>
                        </w:tc>
                      </w:tr>
                      <w:tr w14:paraId="4B35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7" w:type="dxa"/>
                          </w:tcPr>
                          <w:p w14:paraId="343BF797">
                            <w:r>
                              <w:rPr>
                                <w:rFonts w:hint="eastAsia"/>
                              </w:rPr>
                              <w:t>泵流量稳定性</w:t>
                            </w:r>
                          </w:p>
                        </w:tc>
                        <w:tc>
                          <w:tcPr>
                            <w:tcW w:w="4267" w:type="dxa"/>
                          </w:tcPr>
                          <w:p w14:paraId="7B962C7A"/>
                        </w:tc>
                      </w:tr>
                    </w:tbl>
                    <w:p w14:paraId="06F3B161">
                      <w:r>
                        <w:rPr>
                          <w:rFonts w:hint="eastAsia"/>
                        </w:rPr>
                        <w:t>2.检测器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1"/>
                        <w:gridCol w:w="2839"/>
                        <w:gridCol w:w="2839"/>
                      </w:tblGrid>
                      <w:tr w14:paraId="7600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0" w:type="dxa"/>
                            <w:gridSpan w:val="2"/>
                            <w:vAlign w:val="center"/>
                          </w:tcPr>
                          <w:p w14:paraId="6E9A3DF0">
                            <w:pPr>
                              <w:jc w:val="center"/>
                            </w:pPr>
                            <w:r>
                              <w:rPr>
                                <w:rFonts w:hint="eastAsia"/>
                              </w:rPr>
                              <w:t>校准项目</w:t>
                            </w:r>
                          </w:p>
                        </w:tc>
                        <w:tc>
                          <w:tcPr>
                            <w:tcW w:w="2839" w:type="dxa"/>
                            <w:vAlign w:val="center"/>
                          </w:tcPr>
                          <w:p w14:paraId="2E4707BD">
                            <w:pPr>
                              <w:jc w:val="center"/>
                            </w:pPr>
                            <w:r>
                              <w:rPr>
                                <w:rFonts w:hint="eastAsia"/>
                              </w:rPr>
                              <w:t>校准结果</w:t>
                            </w:r>
                          </w:p>
                        </w:tc>
                      </w:tr>
                      <w:tr w14:paraId="3758E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Merge w:val="restart"/>
                            <w:vAlign w:val="center"/>
                          </w:tcPr>
                          <w:p w14:paraId="14BA791B">
                            <w:pPr>
                              <w:jc w:val="center"/>
                            </w:pPr>
                            <w:r>
                              <w:rPr>
                                <w:rFonts w:hint="eastAsia"/>
                              </w:rPr>
                              <w:t>极限噪音/%FS</w:t>
                            </w:r>
                          </w:p>
                        </w:tc>
                        <w:tc>
                          <w:tcPr>
                            <w:tcW w:w="2839" w:type="dxa"/>
                            <w:vAlign w:val="center"/>
                          </w:tcPr>
                          <w:p w14:paraId="50C4BEC6">
                            <w:pPr>
                              <w:jc w:val="center"/>
                            </w:pPr>
                            <w:r>
                              <w:rPr>
                                <w:rFonts w:hint="eastAsia"/>
                              </w:rPr>
                              <w:t>示差检测器</w:t>
                            </w:r>
                          </w:p>
                        </w:tc>
                        <w:tc>
                          <w:tcPr>
                            <w:tcW w:w="2839" w:type="dxa"/>
                            <w:vAlign w:val="center"/>
                          </w:tcPr>
                          <w:p w14:paraId="26D79416">
                            <w:pPr>
                              <w:jc w:val="center"/>
                            </w:pPr>
                          </w:p>
                        </w:tc>
                      </w:tr>
                      <w:tr w14:paraId="06CA0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Merge w:val="continue"/>
                            <w:vAlign w:val="center"/>
                          </w:tcPr>
                          <w:p w14:paraId="68C4A569">
                            <w:pPr>
                              <w:jc w:val="center"/>
                            </w:pPr>
                          </w:p>
                        </w:tc>
                        <w:tc>
                          <w:tcPr>
                            <w:tcW w:w="2839" w:type="dxa"/>
                            <w:vAlign w:val="center"/>
                          </w:tcPr>
                          <w:p w14:paraId="5B0AA4F4">
                            <w:pPr>
                              <w:jc w:val="center"/>
                            </w:pPr>
                            <w:r>
                              <w:rPr>
                                <w:rFonts w:hint="eastAsia"/>
                              </w:rPr>
                              <w:t>紫外检测器</w:t>
                            </w:r>
                          </w:p>
                        </w:tc>
                        <w:tc>
                          <w:tcPr>
                            <w:tcW w:w="2839" w:type="dxa"/>
                            <w:vAlign w:val="center"/>
                          </w:tcPr>
                          <w:p w14:paraId="42670F7D">
                            <w:pPr>
                              <w:jc w:val="center"/>
                            </w:pPr>
                          </w:p>
                        </w:tc>
                      </w:tr>
                      <w:tr w14:paraId="5EDF3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Merge w:val="continue"/>
                            <w:vAlign w:val="center"/>
                          </w:tcPr>
                          <w:p w14:paraId="0FC80FA2">
                            <w:pPr>
                              <w:jc w:val="center"/>
                            </w:pPr>
                          </w:p>
                        </w:tc>
                        <w:tc>
                          <w:tcPr>
                            <w:tcW w:w="2839" w:type="dxa"/>
                            <w:vAlign w:val="center"/>
                          </w:tcPr>
                          <w:p w14:paraId="090C6A09">
                            <w:pPr>
                              <w:jc w:val="center"/>
                            </w:pPr>
                            <w:r>
                              <w:rPr>
                                <w:rFonts w:hint="eastAsia"/>
                              </w:rPr>
                              <w:t>光散射检测器</w:t>
                            </w:r>
                          </w:p>
                        </w:tc>
                        <w:tc>
                          <w:tcPr>
                            <w:tcW w:w="2839" w:type="dxa"/>
                            <w:vAlign w:val="center"/>
                          </w:tcPr>
                          <w:p w14:paraId="3C4C86E1">
                            <w:pPr>
                              <w:jc w:val="center"/>
                            </w:pPr>
                          </w:p>
                        </w:tc>
                      </w:tr>
                      <w:tr w14:paraId="3BF0E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Merge w:val="restart"/>
                            <w:vAlign w:val="center"/>
                          </w:tcPr>
                          <w:p w14:paraId="33F33552">
                            <w:pPr>
                              <w:jc w:val="center"/>
                            </w:pPr>
                            <w:r>
                              <w:rPr>
                                <w:rFonts w:hint="eastAsia"/>
                              </w:rPr>
                              <w:t>基线漂移/%FS·h</w:t>
                            </w:r>
                            <w:r>
                              <w:rPr>
                                <w:rFonts w:hint="eastAsia"/>
                                <w:vertAlign w:val="superscript"/>
                              </w:rPr>
                              <w:t>-1</w:t>
                            </w:r>
                          </w:p>
                        </w:tc>
                        <w:tc>
                          <w:tcPr>
                            <w:tcW w:w="2839" w:type="dxa"/>
                            <w:vAlign w:val="center"/>
                          </w:tcPr>
                          <w:p w14:paraId="1451580B">
                            <w:pPr>
                              <w:jc w:val="center"/>
                            </w:pPr>
                            <w:r>
                              <w:rPr>
                                <w:rFonts w:hint="eastAsia"/>
                              </w:rPr>
                              <w:t>示差检测器</w:t>
                            </w:r>
                          </w:p>
                        </w:tc>
                        <w:tc>
                          <w:tcPr>
                            <w:tcW w:w="2839" w:type="dxa"/>
                            <w:vAlign w:val="center"/>
                          </w:tcPr>
                          <w:p w14:paraId="0FAB5BE4">
                            <w:pPr>
                              <w:jc w:val="center"/>
                            </w:pPr>
                          </w:p>
                        </w:tc>
                      </w:tr>
                      <w:tr w14:paraId="178F9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Merge w:val="continue"/>
                            <w:vAlign w:val="center"/>
                          </w:tcPr>
                          <w:p w14:paraId="250058AF"/>
                        </w:tc>
                        <w:tc>
                          <w:tcPr>
                            <w:tcW w:w="2839" w:type="dxa"/>
                            <w:vAlign w:val="center"/>
                          </w:tcPr>
                          <w:p w14:paraId="1956E727">
                            <w:pPr>
                              <w:jc w:val="center"/>
                            </w:pPr>
                            <w:r>
                              <w:rPr>
                                <w:rFonts w:hint="eastAsia"/>
                              </w:rPr>
                              <w:t>紫外检测器</w:t>
                            </w:r>
                          </w:p>
                        </w:tc>
                        <w:tc>
                          <w:tcPr>
                            <w:tcW w:w="2839" w:type="dxa"/>
                            <w:vAlign w:val="center"/>
                          </w:tcPr>
                          <w:p w14:paraId="35EE71C6">
                            <w:pPr>
                              <w:jc w:val="center"/>
                            </w:pPr>
                          </w:p>
                        </w:tc>
                      </w:tr>
                      <w:tr w14:paraId="2C0ED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Merge w:val="continue"/>
                            <w:vAlign w:val="center"/>
                          </w:tcPr>
                          <w:p w14:paraId="0D0F6C51"/>
                        </w:tc>
                        <w:tc>
                          <w:tcPr>
                            <w:tcW w:w="2839" w:type="dxa"/>
                            <w:vAlign w:val="center"/>
                          </w:tcPr>
                          <w:p w14:paraId="23BB0890">
                            <w:pPr>
                              <w:jc w:val="center"/>
                            </w:pPr>
                            <w:r>
                              <w:rPr>
                                <w:rFonts w:hint="eastAsia"/>
                              </w:rPr>
                              <w:t>光散射检测器</w:t>
                            </w:r>
                          </w:p>
                        </w:tc>
                        <w:tc>
                          <w:tcPr>
                            <w:tcW w:w="2839" w:type="dxa"/>
                            <w:vAlign w:val="center"/>
                          </w:tcPr>
                          <w:p w14:paraId="59444B70">
                            <w:pPr>
                              <w:jc w:val="center"/>
                            </w:pPr>
                          </w:p>
                        </w:tc>
                      </w:tr>
                    </w:tbl>
                    <w:p w14:paraId="62AE3B23">
                      <w:r>
                        <w:rPr>
                          <w:rFonts w:hint="eastAsia"/>
                        </w:rPr>
                        <w:t>3.测量示值误差及重复性</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4"/>
                        <w:gridCol w:w="1707"/>
                        <w:gridCol w:w="1359"/>
                        <w:gridCol w:w="3624"/>
                      </w:tblGrid>
                      <w:tr w14:paraId="7093A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5" w:type="pct"/>
                          </w:tcPr>
                          <w:p w14:paraId="3025C712">
                            <w:r>
                              <w:rPr>
                                <w:rFonts w:hint="eastAsia"/>
                              </w:rPr>
                              <w:t>校准项目</w:t>
                            </w:r>
                          </w:p>
                        </w:tc>
                        <w:tc>
                          <w:tcPr>
                            <w:tcW w:w="976" w:type="pct"/>
                          </w:tcPr>
                          <w:p w14:paraId="3452B91C">
                            <w:r>
                              <w:rPr>
                                <w:rFonts w:hint="eastAsia"/>
                              </w:rPr>
                              <w:t>示值误差</w:t>
                            </w:r>
                          </w:p>
                        </w:tc>
                        <w:tc>
                          <w:tcPr>
                            <w:tcW w:w="777" w:type="pct"/>
                          </w:tcPr>
                          <w:p w14:paraId="64942A28">
                            <w:r>
                              <w:rPr>
                                <w:rFonts w:hint="eastAsia"/>
                              </w:rPr>
                              <w:t>重复性</w:t>
                            </w:r>
                          </w:p>
                        </w:tc>
                        <w:tc>
                          <w:tcPr>
                            <w:tcW w:w="2073" w:type="pct"/>
                          </w:tcPr>
                          <w:p w14:paraId="23222935">
                            <w:r>
                              <w:rPr>
                                <w:rFonts w:hint="eastAsia"/>
                              </w:rPr>
                              <w:t>扩展不确定度（</w:t>
                            </w:r>
                            <w:r>
                              <w:rPr>
                                <w:rFonts w:hint="eastAsia"/>
                                <w:i/>
                                <w:iCs/>
                              </w:rPr>
                              <w:t>k</w:t>
                            </w:r>
                            <w:r>
                              <w:rPr>
                                <w:rFonts w:hint="eastAsia"/>
                              </w:rPr>
                              <w:t>=2）</w:t>
                            </w:r>
                          </w:p>
                        </w:tc>
                      </w:tr>
                      <w:tr w14:paraId="5A8F2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5" w:type="pct"/>
                          </w:tcPr>
                          <w:p w14:paraId="6B6A4AD0">
                            <w:r>
                              <w:rPr>
                                <w:rFonts w:hint="eastAsia"/>
                              </w:rPr>
                              <w:t>重均分子量</w:t>
                            </w:r>
                          </w:p>
                        </w:tc>
                        <w:tc>
                          <w:tcPr>
                            <w:tcW w:w="976" w:type="pct"/>
                          </w:tcPr>
                          <w:p w14:paraId="67C4FFAD"/>
                        </w:tc>
                        <w:tc>
                          <w:tcPr>
                            <w:tcW w:w="777" w:type="pct"/>
                          </w:tcPr>
                          <w:p w14:paraId="0B918244"/>
                        </w:tc>
                        <w:tc>
                          <w:tcPr>
                            <w:tcW w:w="2073" w:type="pct"/>
                          </w:tcPr>
                          <w:p w14:paraId="683F2C30"/>
                        </w:tc>
                      </w:tr>
                      <w:tr w14:paraId="47E5A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5" w:type="pct"/>
                          </w:tcPr>
                          <w:p w14:paraId="35372725">
                            <w:r>
                              <w:rPr>
                                <w:rFonts w:hint="eastAsia"/>
                              </w:rPr>
                              <w:t>回转半径</w:t>
                            </w:r>
                          </w:p>
                        </w:tc>
                        <w:tc>
                          <w:tcPr>
                            <w:tcW w:w="976" w:type="pct"/>
                          </w:tcPr>
                          <w:p w14:paraId="1FE59155"/>
                        </w:tc>
                        <w:tc>
                          <w:tcPr>
                            <w:tcW w:w="777" w:type="pct"/>
                          </w:tcPr>
                          <w:p w14:paraId="45052A04"/>
                        </w:tc>
                        <w:tc>
                          <w:tcPr>
                            <w:tcW w:w="2073" w:type="pct"/>
                          </w:tcPr>
                          <w:p w14:paraId="7229C7DF"/>
                        </w:tc>
                      </w:tr>
                    </w:tbl>
                    <w:p w14:paraId="7A7827F1">
                      <w:pPr>
                        <w:jc w:val="center"/>
                        <w:rPr>
                          <w:szCs w:val="21"/>
                        </w:rPr>
                      </w:pPr>
                      <w:r>
                        <w:rPr>
                          <w:rFonts w:hint="eastAsia"/>
                          <w:szCs w:val="21"/>
                        </w:rPr>
                        <w:t>以下空白</w:t>
                      </w:r>
                    </w:p>
                    <w:p w14:paraId="277E7743">
                      <w:pPr>
                        <w:jc w:val="center"/>
                        <w:rPr>
                          <w:rFonts w:hAnsi="宋体"/>
                          <w:szCs w:val="21"/>
                        </w:rPr>
                      </w:pPr>
                    </w:p>
                    <w:p w14:paraId="0F16790C">
                      <w:pPr>
                        <w:ind w:firstLine="240" w:firstLineChars="100"/>
                        <w:rPr>
                          <w:szCs w:val="21"/>
                        </w:rPr>
                      </w:pPr>
                      <w:r>
                        <w:rPr>
                          <w:rFonts w:hint="eastAsia"/>
                          <w:szCs w:val="21"/>
                        </w:rPr>
                        <w:t>声明：1、本单位仅对加盖“×××校准专用章”的完整证书负责。</w:t>
                      </w:r>
                    </w:p>
                    <w:p w14:paraId="6C2E888A">
                      <w:pPr>
                        <w:ind w:left="840"/>
                        <w:rPr>
                          <w:szCs w:val="21"/>
                        </w:rPr>
                      </w:pPr>
                      <w:r>
                        <w:rPr>
                          <w:rFonts w:hint="eastAsia"/>
                          <w:szCs w:val="21"/>
                        </w:rPr>
                        <w:t>2、本证书的校准结果仅对所校准器具有效。</w:t>
                      </w:r>
                    </w:p>
                    <w:p w14:paraId="165C2983">
                      <w:pPr>
                        <w:ind w:left="840"/>
                        <w:rPr>
                          <w:szCs w:val="24"/>
                        </w:rPr>
                      </w:pPr>
                    </w:p>
                    <w:p w14:paraId="009CA24F">
                      <w:pPr>
                        <w:ind w:left="840"/>
                        <w:rPr>
                          <w:rFonts w:hAnsi="宋体"/>
                          <w:szCs w:val="21"/>
                        </w:rPr>
                      </w:pPr>
                      <w:r>
                        <w:rPr>
                          <w:rFonts w:hint="eastAsia"/>
                          <w:szCs w:val="24"/>
                        </w:rPr>
                        <w:t xml:space="preserve">校准员：                 核验员： </w:t>
                      </w:r>
                    </w:p>
                    <w:p w14:paraId="2F6D7115">
                      <w:pPr>
                        <w:jc w:val="center"/>
                        <w:rPr>
                          <w:szCs w:val="24"/>
                        </w:rPr>
                      </w:pPr>
                      <w:r>
                        <w:rPr>
                          <w:rFonts w:hAnsi="宋体"/>
                          <w:szCs w:val="21"/>
                        </w:rPr>
                        <w:t>第</w:t>
                      </w:r>
                      <w:r>
                        <w:rPr>
                          <w:szCs w:val="21"/>
                        </w:rPr>
                        <w:t>x</w:t>
                      </w:r>
                      <w:r>
                        <w:rPr>
                          <w:rFonts w:hAnsi="宋体"/>
                          <w:szCs w:val="21"/>
                        </w:rPr>
                        <w:t>页　共</w:t>
                      </w:r>
                      <w:r>
                        <w:rPr>
                          <w:szCs w:val="21"/>
                        </w:rPr>
                        <w:t>x</w:t>
                      </w:r>
                      <w:r>
                        <w:rPr>
                          <w:rFonts w:hAnsi="宋体"/>
                          <w:szCs w:val="21"/>
                        </w:rPr>
                        <w:t>页</w:t>
                      </w:r>
                    </w:p>
                  </w:txbxContent>
                </v:textbox>
                <w10:wrap type="none"/>
                <w10:anchorlock/>
              </v:shape>
            </w:pict>
          </mc:Fallback>
        </mc:AlternateContent>
      </w:r>
      <w:bookmarkEnd w:id="60"/>
    </w:p>
    <w:p w14:paraId="7CB28A27">
      <w:pPr>
        <w:pStyle w:val="2"/>
        <w:rPr>
          <w:rStyle w:val="34"/>
          <w:rFonts w:ascii="黑体" w:hAnsi="黑体" w:eastAsia="黑体"/>
        </w:rPr>
      </w:pPr>
      <w:bookmarkStart w:id="61" w:name="_Toc208913173"/>
      <w:r>
        <w:rPr>
          <w:rStyle w:val="34"/>
          <w:rFonts w:hint="eastAsia" w:ascii="黑体" w:hAnsi="黑体" w:eastAsia="黑体"/>
        </w:rPr>
        <w:t>附录G</w:t>
      </w:r>
      <w:bookmarkEnd w:id="61"/>
    </w:p>
    <w:p w14:paraId="6ED35BD9">
      <w:pPr>
        <w:adjustRightInd w:val="0"/>
        <w:snapToGrid w:val="0"/>
        <w:spacing w:before="156" w:beforeLines="50"/>
        <w:jc w:val="center"/>
        <w:rPr>
          <w:rFonts w:eastAsia="黑体"/>
          <w:sz w:val="28"/>
          <w:szCs w:val="28"/>
        </w:rPr>
      </w:pPr>
      <w:r>
        <w:rPr>
          <w:rFonts w:hint="eastAsia" w:eastAsia="黑体"/>
          <w:sz w:val="28"/>
          <w:szCs w:val="28"/>
        </w:rPr>
        <w:t>测量不确定度评定示例</w:t>
      </w:r>
    </w:p>
    <w:p w14:paraId="511497FD">
      <w:pPr>
        <w:adjustRightInd w:val="0"/>
        <w:snapToGrid w:val="0"/>
        <w:spacing w:before="156" w:beforeLines="50"/>
        <w:rPr>
          <w:szCs w:val="24"/>
        </w:rPr>
      </w:pPr>
      <w:r>
        <w:rPr>
          <w:rFonts w:hint="eastAsia"/>
          <w:szCs w:val="24"/>
        </w:rPr>
        <w:t>G.1 重均分子量示值误差的不确定度评定</w:t>
      </w:r>
    </w:p>
    <w:p w14:paraId="67EF0478">
      <w:pPr>
        <w:adjustRightInd w:val="0"/>
        <w:snapToGrid w:val="0"/>
        <w:spacing w:before="156" w:beforeLines="50"/>
        <w:rPr>
          <w:szCs w:val="24"/>
        </w:rPr>
      </w:pPr>
      <w:r>
        <w:rPr>
          <w:rFonts w:hint="eastAsia"/>
          <w:szCs w:val="24"/>
        </w:rPr>
        <w:t>G.1.1 测量方法</w:t>
      </w:r>
    </w:p>
    <w:p w14:paraId="3CB84E68">
      <w:pPr>
        <w:adjustRightInd w:val="0"/>
        <w:snapToGrid w:val="0"/>
        <w:spacing w:before="156" w:beforeLines="50"/>
        <w:ind w:firstLine="480" w:firstLineChars="200"/>
        <w:rPr>
          <w:szCs w:val="24"/>
        </w:rPr>
      </w:pPr>
      <w:r>
        <w:rPr>
          <w:rFonts w:hint="eastAsia"/>
          <w:szCs w:val="24"/>
        </w:rPr>
        <w:t>按仪器说明书，标定好仪器参数，参考B.1配置溶液浓度。待仪器稳定后进样，使用合适的场流程序对样品进行分离测量。取基线后使用合适的角度，并取目标峰半峰宽对应点对样品积分，利用软件计算得到目标峰的重均分子量。重复测量3次，取算术平均值，按公式（5）计算重均分子量示值误差。</w:t>
      </w:r>
    </w:p>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2"/>
        <w:gridCol w:w="1042"/>
      </w:tblGrid>
      <w:tr w14:paraId="57056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92" w:type="dxa"/>
          </w:tcPr>
          <w:p w14:paraId="667ABFD9">
            <w:r>
              <w:rPr>
                <w:rFonts w:hint="eastAsia"/>
              </w:rPr>
              <w:t>G.1.2 建立测量模型</w:t>
            </w:r>
          </w:p>
          <w:p w14:paraId="6B113DE7">
            <m:oMathPara>
              <m:oMath>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acc>
                <m:r>
                  <m:rPr/>
                  <w:rPr>
                    <w:rFonts w:ascii="Cambria Math" w:hAnsi="Cambria Math"/>
                  </w:rPr>
                  <m:t>=</m:t>
                </m:r>
                <m:f>
                  <m:fPr>
                    <m:ctrlPr>
                      <w:rPr>
                        <w:rFonts w:ascii="Cambria Math" w:hAnsi="Cambria Math"/>
                        <w:i/>
                      </w:rPr>
                    </m:ctrlPr>
                  </m:fPr>
                  <m:num>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acc>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r>
                              <m:rPr/>
                              <w:rPr>
                                <w:rFonts w:hint="eastAsia" w:ascii="Cambria Math" w:hAnsi="Cambria Math"/>
                              </w:rPr>
                              <m:t>标</m:t>
                            </m:r>
                            <m:ctrlPr>
                              <w:rPr>
                                <w:rFonts w:ascii="Cambria Math" w:hAnsi="Cambria Math"/>
                                <w:i/>
                              </w:rPr>
                            </m:ctrlPr>
                          </m:sub>
                        </m:sSub>
                        <m:ctrlPr>
                          <w:rPr>
                            <w:rFonts w:ascii="Cambria Math" w:hAnsi="Cambria Math"/>
                            <w:i/>
                          </w:rPr>
                        </m:ctrlPr>
                      </m:e>
                    </m:acc>
                    <m:ctrlPr>
                      <w:rPr>
                        <w:rFonts w:ascii="Cambria Math" w:hAnsi="Cambria Math"/>
                        <w:i/>
                      </w:rPr>
                    </m:ctrlPr>
                  </m:num>
                  <m:den>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r>
                              <m:rPr/>
                              <w:rPr>
                                <w:rFonts w:hint="eastAsia" w:ascii="Cambria Math" w:hAnsi="Cambria Math"/>
                              </w:rPr>
                              <m:t>标</m:t>
                            </m:r>
                            <m:ctrlPr>
                              <w:rPr>
                                <w:rFonts w:ascii="Cambria Math" w:hAnsi="Cambria Math"/>
                                <w:i/>
                              </w:rPr>
                            </m:ctrlPr>
                          </m:sub>
                        </m:sSub>
                        <m:ctrlPr>
                          <w:rPr>
                            <w:rFonts w:ascii="Cambria Math" w:hAnsi="Cambria Math"/>
                            <w:i/>
                          </w:rPr>
                        </m:ctrlPr>
                      </m:e>
                    </m:acc>
                    <m:ctrlPr>
                      <w:rPr>
                        <w:rFonts w:ascii="Cambria Math" w:hAnsi="Cambria Math"/>
                        <w:i/>
                      </w:rPr>
                    </m:ctrlPr>
                  </m:den>
                </m:f>
                <m:r>
                  <m:rPr/>
                  <w:rPr>
                    <w:rFonts w:ascii="Cambria Math" w:hAnsi="Cambria Math"/>
                  </w:rPr>
                  <m:t>×100%</m:t>
                </m:r>
              </m:oMath>
            </m:oMathPara>
          </w:p>
        </w:tc>
        <w:tc>
          <w:tcPr>
            <w:tcW w:w="1042" w:type="dxa"/>
          </w:tcPr>
          <w:p w14:paraId="0F80B0A5">
            <w:pPr>
              <w:jc w:val="right"/>
            </w:pPr>
            <w:r>
              <w:t>(</w:t>
            </w:r>
            <w:r>
              <w:rPr>
                <w:rFonts w:hint="eastAsia"/>
              </w:rPr>
              <w:t>5</w:t>
            </w:r>
            <w:r>
              <w:t>)</w:t>
            </w:r>
          </w:p>
        </w:tc>
      </w:tr>
    </w:tbl>
    <w:p w14:paraId="211C5D42">
      <w:pPr>
        <w:ind w:firstLine="480" w:firstLineChars="200"/>
        <w:rPr>
          <w:szCs w:val="24"/>
        </w:rPr>
      </w:pPr>
      <w:r>
        <w:rPr>
          <w:szCs w:val="24"/>
        </w:rPr>
        <w:t>式中：</w:t>
      </w:r>
    </w:p>
    <w:p w14:paraId="58327189">
      <w:pPr>
        <w:ind w:firstLine="480" w:firstLineChars="200"/>
      </w:pPr>
      <m:oMath>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acc>
      </m:oMath>
      <w:r>
        <w:tab/>
      </w:r>
      <w:r>
        <w:rPr>
          <w:rFonts w:hint="eastAsia"/>
        </w:rPr>
        <w:t>——分子量的测量误差；</w:t>
      </w:r>
    </w:p>
    <w:p w14:paraId="223A7654">
      <w:pPr>
        <w:ind w:firstLine="480" w:firstLineChars="200"/>
      </w:pPr>
      <m:oMath>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acc>
      </m:oMath>
      <w:r>
        <w:tab/>
      </w:r>
      <w:r>
        <w:tab/>
      </w:r>
      <w:r>
        <w:rPr>
          <w:rFonts w:hint="eastAsia"/>
        </w:rPr>
        <w:t>——重均分子量测量平均值，g/mol；</w:t>
      </w:r>
    </w:p>
    <w:p w14:paraId="37DA3B06">
      <w:pPr>
        <w:ind w:firstLine="480" w:firstLineChars="200"/>
      </w:pPr>
      <m:oMath>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r>
                  <m:rPr/>
                  <w:rPr>
                    <w:rFonts w:hint="eastAsia" w:ascii="Cambria Math" w:hAnsi="Cambria Math"/>
                  </w:rPr>
                  <m:t>标</m:t>
                </m:r>
                <m:ctrlPr>
                  <w:rPr>
                    <w:rFonts w:ascii="Cambria Math" w:hAnsi="Cambria Math"/>
                    <w:i/>
                  </w:rPr>
                </m:ctrlPr>
              </m:sub>
            </m:sSub>
            <m:ctrlPr>
              <w:rPr>
                <w:rFonts w:ascii="Cambria Math" w:hAnsi="Cambria Math"/>
                <w:i/>
              </w:rPr>
            </m:ctrlPr>
          </m:e>
        </m:acc>
      </m:oMath>
      <w:r>
        <w:tab/>
      </w:r>
      <w:r>
        <w:rPr>
          <w:rFonts w:hint="eastAsia"/>
        </w:rPr>
        <w:t>——标准物质的重均分子量标准值，g/mol；</w:t>
      </w:r>
    </w:p>
    <w:p w14:paraId="08A745D1">
      <w:pPr>
        <w:adjustRightInd w:val="0"/>
        <w:snapToGrid w:val="0"/>
        <w:spacing w:before="156" w:beforeLines="50"/>
        <w:ind w:firstLine="480" w:firstLineChars="200"/>
      </w:pPr>
      <w:r>
        <w:rPr>
          <w:rFonts w:hint="eastAsia"/>
          <w:szCs w:val="24"/>
        </w:rPr>
        <w:t>测量模型中</w:t>
      </w:r>
      <m:oMath>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acc>
      </m:oMath>
      <w:r>
        <w:rPr>
          <w:rFonts w:hint="eastAsia"/>
        </w:rPr>
        <w:t>与</w:t>
      </w:r>
      <m:oMath>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r>
                  <m:rPr/>
                  <w:rPr>
                    <w:rFonts w:hint="eastAsia" w:ascii="Cambria Math" w:hAnsi="Cambria Math"/>
                  </w:rPr>
                  <m:t>标</m:t>
                </m:r>
                <m:ctrlPr>
                  <w:rPr>
                    <w:rFonts w:ascii="Cambria Math" w:hAnsi="Cambria Math"/>
                    <w:i/>
                  </w:rPr>
                </m:ctrlPr>
              </m:sub>
            </m:sSub>
            <m:ctrlPr>
              <w:rPr>
                <w:rFonts w:ascii="Cambria Math" w:hAnsi="Cambria Math"/>
                <w:i/>
              </w:rPr>
            </m:ctrlPr>
          </m:e>
        </m:acc>
      </m:oMath>
      <w:r>
        <w:rPr>
          <w:rFonts w:hint="eastAsia"/>
        </w:rPr>
        <w:t>相互独立，则有：</w:t>
      </w:r>
    </w:p>
    <w:p w14:paraId="28F7B8D7">
      <w:pPr>
        <w:adjustRightInd w:val="0"/>
        <w:snapToGrid w:val="0"/>
        <w:spacing w:before="156" w:beforeLines="50"/>
        <w:rPr>
          <w:szCs w:val="24"/>
        </w:rPr>
      </w:pPr>
      <m:oMathPara>
        <m:oMath>
          <m:f>
            <m:fPr>
              <m:ctrlPr>
                <w:rPr>
                  <w:rFonts w:ascii="Cambria Math" w:hAnsi="Cambria Math"/>
                  <w:i/>
                  <w:szCs w:val="24"/>
                </w:rPr>
              </m:ctrlPr>
            </m:fPr>
            <m:num>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acc>
              <m:r>
                <m:rPr/>
                <w:rPr>
                  <w:rFonts w:ascii="Cambria Math" w:hAnsi="Cambria Math"/>
                </w:rPr>
                <m:t>)</m:t>
              </m:r>
              <m:ctrlPr>
                <w:rPr>
                  <w:rFonts w:ascii="Cambria Math" w:hAnsi="Cambria Math"/>
                  <w:i/>
                  <w:szCs w:val="24"/>
                </w:rPr>
              </m:ctrlPr>
            </m:num>
            <m:den>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acc>
              <m:ctrlPr>
                <w:rPr>
                  <w:rFonts w:ascii="Cambria Math" w:hAnsi="Cambria Math"/>
                  <w:i/>
                  <w:szCs w:val="24"/>
                </w:rPr>
              </m:ctrlPr>
            </m:den>
          </m:f>
          <m:r>
            <m:rPr/>
            <w:rPr>
              <w:rFonts w:ascii="Cambria Math" w:hAnsi="Cambria Math"/>
              <w:szCs w:val="24"/>
            </w:rPr>
            <m:t>=</m:t>
          </m:r>
          <m:rad>
            <m:radPr>
              <m:degHide m:val="1"/>
              <m:ctrlPr>
                <w:rPr>
                  <w:rFonts w:ascii="Cambria Math" w:hAnsi="Cambria Math"/>
                  <w:i/>
                  <w:szCs w:val="24"/>
                </w:rPr>
              </m:ctrlPr>
            </m:radPr>
            <m:deg>
              <m:ctrlPr>
                <w:rPr>
                  <w:rFonts w:ascii="Cambria Math" w:hAnsi="Cambria Math"/>
                  <w:i/>
                  <w:szCs w:val="24"/>
                </w:rPr>
              </m:ctrlPr>
            </m:deg>
            <m:e>
              <m:sSup>
                <m:sSupPr>
                  <m:ctrlPr>
                    <w:rPr>
                      <w:rFonts w:ascii="Cambria Math" w:hAnsi="Cambria Math"/>
                      <w:i/>
                      <w:szCs w:val="24"/>
                    </w:rPr>
                  </m:ctrlPr>
                </m:sSupPr>
                <m:e>
                  <m:d>
                    <m:dPr>
                      <m:ctrlPr>
                        <w:rPr>
                          <w:rFonts w:ascii="Cambria Math" w:hAnsi="Cambria Math"/>
                          <w:i/>
                          <w:szCs w:val="24"/>
                        </w:rPr>
                      </m:ctrlPr>
                    </m:dPr>
                    <m:e>
                      <m:f>
                        <m:fPr>
                          <m:ctrlPr>
                            <w:rPr>
                              <w:rFonts w:ascii="Cambria Math" w:hAnsi="Cambria Math"/>
                              <w:i/>
                              <w:szCs w:val="24"/>
                            </w:rPr>
                          </m:ctrlPr>
                        </m:fPr>
                        <m:num>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acc>
                          <m:r>
                            <m:rPr/>
                            <w:rPr>
                              <w:rFonts w:ascii="Cambria Math" w:hAnsi="Cambria Math"/>
                            </w:rPr>
                            <m:t>)</m:t>
                          </m:r>
                          <m:ctrlPr>
                            <w:rPr>
                              <w:rFonts w:ascii="Cambria Math" w:hAnsi="Cambria Math"/>
                              <w:i/>
                              <w:szCs w:val="24"/>
                            </w:rPr>
                          </m:ctrlPr>
                        </m:num>
                        <m:den>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acc>
                          <m:ctrlPr>
                            <w:rPr>
                              <w:rFonts w:ascii="Cambria Math" w:hAnsi="Cambria Math"/>
                              <w:i/>
                              <w:szCs w:val="24"/>
                            </w:rPr>
                          </m:ctrlPr>
                        </m:den>
                      </m:f>
                      <m:ctrlPr>
                        <w:rPr>
                          <w:rFonts w:ascii="Cambria Math" w:hAnsi="Cambria Math"/>
                          <w:i/>
                          <w:szCs w:val="24"/>
                        </w:rPr>
                      </m:ctrlPr>
                    </m:e>
                  </m:d>
                  <m:ctrlPr>
                    <w:rPr>
                      <w:rFonts w:ascii="Cambria Math" w:hAnsi="Cambria Math"/>
                      <w:i/>
                      <w:szCs w:val="24"/>
                    </w:rPr>
                  </m:ctrlPr>
                </m:e>
                <m:sup>
                  <m:r>
                    <m:rPr/>
                    <w:rPr>
                      <w:rFonts w:ascii="Cambria Math" w:hAnsi="Cambria Math"/>
                      <w:szCs w:val="24"/>
                    </w:rPr>
                    <m:t>2</m:t>
                  </m:r>
                  <m:ctrlPr>
                    <w:rPr>
                      <w:rFonts w:ascii="Cambria Math" w:hAnsi="Cambria Math"/>
                      <w:i/>
                      <w:szCs w:val="24"/>
                    </w:rPr>
                  </m:ctrlPr>
                </m:sup>
              </m:sSup>
              <m:r>
                <m:rPr/>
                <w:rPr>
                  <w:rFonts w:ascii="Cambria Math" w:hAnsi="Cambria Math"/>
                  <w:szCs w:val="24"/>
                </w:rPr>
                <m:t>+</m:t>
              </m:r>
              <m:sSup>
                <m:sSupPr>
                  <m:ctrlPr>
                    <w:rPr>
                      <w:rFonts w:ascii="Cambria Math" w:hAnsi="Cambria Math"/>
                      <w:i/>
                      <w:szCs w:val="24"/>
                    </w:rPr>
                  </m:ctrlPr>
                </m:sSupPr>
                <m:e>
                  <m:d>
                    <m:dPr>
                      <m:ctrlPr>
                        <w:rPr>
                          <w:rFonts w:ascii="Cambria Math" w:hAnsi="Cambria Math"/>
                          <w:i/>
                          <w:szCs w:val="24"/>
                        </w:rPr>
                      </m:ctrlPr>
                    </m:dPr>
                    <m:e>
                      <m:f>
                        <m:fPr>
                          <m:ctrlPr>
                            <w:rPr>
                              <w:rFonts w:ascii="Cambria Math" w:hAnsi="Cambria Math"/>
                              <w:i/>
                              <w:szCs w:val="24"/>
                            </w:rPr>
                          </m:ctrlPr>
                        </m:fPr>
                        <m:num>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r>
                                    <m:rPr/>
                                    <w:rPr>
                                      <w:rFonts w:hint="eastAsia" w:ascii="Cambria Math" w:hAnsi="Cambria Math"/>
                                    </w:rPr>
                                    <m:t>标</m:t>
                                  </m:r>
                                  <m:ctrlPr>
                                    <w:rPr>
                                      <w:rFonts w:ascii="Cambria Math" w:hAnsi="Cambria Math"/>
                                      <w:i/>
                                    </w:rPr>
                                  </m:ctrlPr>
                                </m:sub>
                              </m:sSub>
                              <m:ctrlPr>
                                <w:rPr>
                                  <w:rFonts w:ascii="Cambria Math" w:hAnsi="Cambria Math"/>
                                  <w:i/>
                                </w:rPr>
                              </m:ctrlPr>
                            </m:e>
                          </m:acc>
                          <m:r>
                            <m:rPr/>
                            <w:rPr>
                              <w:rFonts w:ascii="Cambria Math" w:hAnsi="Cambria Math"/>
                            </w:rPr>
                            <m:t>)</m:t>
                          </m:r>
                          <m:ctrlPr>
                            <w:rPr>
                              <w:rFonts w:ascii="Cambria Math" w:hAnsi="Cambria Math"/>
                              <w:i/>
                              <w:szCs w:val="24"/>
                            </w:rPr>
                          </m:ctrlPr>
                        </m:num>
                        <m:den>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r>
                                <m:rPr/>
                                <w:rPr>
                                  <w:rFonts w:hint="eastAsia" w:ascii="Cambria Math" w:hAnsi="Cambria Math"/>
                                </w:rPr>
                                <m:t>标</m:t>
                              </m:r>
                              <m:ctrlPr>
                                <w:rPr>
                                  <w:rFonts w:ascii="Cambria Math" w:hAnsi="Cambria Math"/>
                                  <w:i/>
                                </w:rPr>
                              </m:ctrlPr>
                            </m:sub>
                          </m:sSub>
                          <m:ctrlPr>
                            <w:rPr>
                              <w:rFonts w:ascii="Cambria Math" w:hAnsi="Cambria Math"/>
                              <w:i/>
                              <w:szCs w:val="24"/>
                            </w:rPr>
                          </m:ctrlPr>
                        </m:den>
                      </m:f>
                      <m:ctrlPr>
                        <w:rPr>
                          <w:rFonts w:ascii="Cambria Math" w:hAnsi="Cambria Math"/>
                          <w:i/>
                          <w:szCs w:val="24"/>
                        </w:rPr>
                      </m:ctrlPr>
                    </m:e>
                  </m:d>
                  <m:ctrlPr>
                    <w:rPr>
                      <w:rFonts w:ascii="Cambria Math" w:hAnsi="Cambria Math"/>
                      <w:i/>
                      <w:szCs w:val="24"/>
                    </w:rPr>
                  </m:ctrlPr>
                </m:e>
                <m:sup>
                  <m:r>
                    <m:rPr/>
                    <w:rPr>
                      <w:rFonts w:ascii="Cambria Math" w:hAnsi="Cambria Math"/>
                      <w:szCs w:val="24"/>
                    </w:rPr>
                    <m:t>2</m:t>
                  </m:r>
                  <m:ctrlPr>
                    <w:rPr>
                      <w:rFonts w:ascii="Cambria Math" w:hAnsi="Cambria Math"/>
                      <w:i/>
                      <w:szCs w:val="24"/>
                    </w:rPr>
                  </m:ctrlPr>
                </m:sup>
              </m:sSup>
              <m:ctrlPr>
                <w:rPr>
                  <w:rFonts w:ascii="Cambria Math" w:hAnsi="Cambria Math"/>
                  <w:i/>
                  <w:szCs w:val="24"/>
                </w:rPr>
              </m:ctrlPr>
            </m:e>
          </m:rad>
        </m:oMath>
      </m:oMathPara>
    </w:p>
    <w:p w14:paraId="27403C4D">
      <w:pPr>
        <w:adjustRightInd w:val="0"/>
        <w:snapToGrid w:val="0"/>
        <w:spacing w:before="156" w:beforeLines="50"/>
        <w:rPr>
          <w:szCs w:val="24"/>
        </w:rPr>
      </w:pPr>
      <w:r>
        <w:rPr>
          <w:rFonts w:hint="eastAsia"/>
          <w:szCs w:val="24"/>
        </w:rPr>
        <w:t>G.1.3 标准不确定度评定</w:t>
      </w:r>
    </w:p>
    <w:p w14:paraId="0EC5B407">
      <w:pPr>
        <w:adjustRightInd w:val="0"/>
        <w:snapToGrid w:val="0"/>
        <w:spacing w:before="156" w:beforeLines="50"/>
        <w:ind w:firstLine="480" w:firstLineChars="200"/>
        <w:rPr>
          <w:szCs w:val="24"/>
        </w:rPr>
      </w:pPr>
      <w:r>
        <w:rPr>
          <w:rFonts w:hint="eastAsia"/>
          <w:szCs w:val="24"/>
        </w:rPr>
        <w:t>主要不确定度来源：</w:t>
      </w:r>
    </w:p>
    <w:p w14:paraId="515E2B68">
      <w:pPr>
        <w:pStyle w:val="66"/>
        <w:numPr>
          <w:ilvl w:val="0"/>
          <w:numId w:val="4"/>
        </w:numPr>
        <w:adjustRightInd w:val="0"/>
        <w:snapToGrid w:val="0"/>
        <w:spacing w:before="156" w:beforeLines="50"/>
        <w:ind w:firstLineChars="0"/>
        <w:rPr>
          <w:szCs w:val="24"/>
        </w:rPr>
      </w:pPr>
      <w:r>
        <w:rPr>
          <w:rFonts w:hint="eastAsia"/>
          <w:szCs w:val="24"/>
        </w:rPr>
        <w:t>分子量标准物质引入的不确定度；</w:t>
      </w:r>
    </w:p>
    <w:p w14:paraId="59A2C419">
      <w:pPr>
        <w:pStyle w:val="66"/>
        <w:numPr>
          <w:ilvl w:val="0"/>
          <w:numId w:val="4"/>
        </w:numPr>
        <w:adjustRightInd w:val="0"/>
        <w:snapToGrid w:val="0"/>
        <w:spacing w:before="156" w:beforeLines="50"/>
        <w:ind w:firstLineChars="0"/>
        <w:rPr>
          <w:szCs w:val="24"/>
        </w:rPr>
      </w:pPr>
      <w:r>
        <w:rPr>
          <w:rFonts w:hint="eastAsia"/>
          <w:szCs w:val="24"/>
        </w:rPr>
        <w:t>测量重复性引入的不确定度；</w:t>
      </w:r>
    </w:p>
    <w:p w14:paraId="0C0DFFC6">
      <w:pPr>
        <w:adjustRightInd w:val="0"/>
        <w:snapToGrid w:val="0"/>
        <w:spacing w:before="156" w:beforeLines="50"/>
      </w:pPr>
      <w:r>
        <w:rPr>
          <w:rFonts w:hint="eastAsia"/>
          <w:szCs w:val="24"/>
        </w:rPr>
        <w:t>G.1.3.1 分子量标准物质引入的不确定度分量</w:t>
      </w:r>
      <m:oMath>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r>
                  <m:rPr/>
                  <w:rPr>
                    <w:rFonts w:hint="eastAsia" w:ascii="Cambria Math" w:hAnsi="Cambria Math"/>
                  </w:rPr>
                  <m:t>标</m:t>
                </m:r>
                <m:ctrlPr>
                  <w:rPr>
                    <w:rFonts w:ascii="Cambria Math" w:hAnsi="Cambria Math"/>
                    <w:i/>
                  </w:rPr>
                </m:ctrlPr>
              </m:sub>
            </m:sSub>
            <m:ctrlPr>
              <w:rPr>
                <w:rFonts w:ascii="Cambria Math" w:hAnsi="Cambria Math"/>
                <w:i/>
              </w:rPr>
            </m:ctrlPr>
          </m:e>
        </m:acc>
        <m:r>
          <m:rPr/>
          <w:rPr>
            <w:rFonts w:ascii="Cambria Math" w:hAnsi="Cambria Math"/>
          </w:rPr>
          <m:t>)</m:t>
        </m:r>
      </m:oMath>
    </w:p>
    <w:p w14:paraId="606FD4B0">
      <w:pPr>
        <w:adjustRightInd w:val="0"/>
        <w:snapToGrid w:val="0"/>
        <w:spacing w:before="156" w:beforeLines="50"/>
        <w:ind w:firstLine="480" w:firstLineChars="200"/>
      </w:pPr>
      <w:r>
        <w:rPr>
          <w:rFonts w:hint="eastAsia"/>
        </w:rPr>
        <w:t>用编号GBW(E)100151牛血清白蛋白相对分子质量标准物质校准仪器，相对标准不确定度为0.03%。</w:t>
      </w:r>
    </w:p>
    <w:p w14:paraId="22A59B3D">
      <w:pPr>
        <w:adjustRightInd w:val="0"/>
        <w:snapToGrid w:val="0"/>
        <w:spacing w:before="156" w:beforeLines="50"/>
        <w:rPr>
          <w:szCs w:val="24"/>
        </w:rPr>
      </w:pPr>
      <m:oMathPara>
        <m:oMath>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d>
            <m:dPr>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r>
                        <m:rPr/>
                        <w:rPr>
                          <w:rFonts w:hint="eastAsia" w:ascii="Cambria Math" w:hAnsi="Cambria Math"/>
                        </w:rPr>
                        <m:t>标</m:t>
                      </m:r>
                      <m:ctrlPr>
                        <w:rPr>
                          <w:rFonts w:ascii="Cambria Math" w:hAnsi="Cambria Math"/>
                          <w:i/>
                        </w:rPr>
                      </m:ctrlPr>
                    </m:sub>
                  </m:sSub>
                  <m:ctrlPr>
                    <w:rPr>
                      <w:rFonts w:ascii="Cambria Math" w:hAnsi="Cambria Math"/>
                      <w:i/>
                    </w:rPr>
                  </m:ctrlPr>
                </m:e>
              </m:acc>
              <m:ctrlPr>
                <w:rPr>
                  <w:rFonts w:ascii="Cambria Math" w:hAnsi="Cambria Math"/>
                  <w:i/>
                </w:rPr>
              </m:ctrlPr>
            </m:e>
          </m:d>
          <m:r>
            <m:rPr/>
            <w:rPr>
              <w:rFonts w:ascii="Cambria Math" w:hAnsi="Cambria Math"/>
            </w:rPr>
            <m:t>=</m:t>
          </m:r>
          <m:f>
            <m:fPr>
              <m:ctrlPr>
                <w:rPr>
                  <w:rFonts w:ascii="Cambria Math" w:hAnsi="Cambria Math"/>
                  <w:i/>
                </w:rPr>
              </m:ctrlPr>
            </m:fPr>
            <m:num>
              <m:r>
                <m:rPr/>
                <w:rPr>
                  <w:rFonts w:ascii="Cambria Math" w:hAnsi="Cambria Math"/>
                </w:rPr>
                <m:t>32÷2</m:t>
              </m:r>
              <m:ctrlPr>
                <w:rPr>
                  <w:rFonts w:ascii="Cambria Math" w:hAnsi="Cambria Math"/>
                  <w:i/>
                </w:rPr>
              </m:ctrlPr>
            </m:num>
            <m:den>
              <m:r>
                <m:rPr/>
                <w:rPr>
                  <w:rFonts w:ascii="Cambria Math" w:hAnsi="Cambria Math"/>
                </w:rPr>
                <m:t>66446</m:t>
              </m:r>
              <m:ctrlPr>
                <w:rPr>
                  <w:rFonts w:ascii="Cambria Math" w:hAnsi="Cambria Math"/>
                  <w:i/>
                </w:rPr>
              </m:ctrlPr>
            </m:den>
          </m:f>
          <m:r>
            <m:rPr/>
            <w:rPr>
              <w:rFonts w:ascii="Cambria Math" w:hAnsi="Cambria Math"/>
            </w:rPr>
            <m:t>=0.03%</m:t>
          </m:r>
        </m:oMath>
      </m:oMathPara>
    </w:p>
    <w:p w14:paraId="2E84A8D6">
      <w:pPr>
        <w:adjustRightInd w:val="0"/>
        <w:snapToGrid w:val="0"/>
        <w:spacing w:before="156" w:beforeLines="50"/>
        <w:rPr>
          <w:szCs w:val="24"/>
        </w:rPr>
      </w:pPr>
      <w:r>
        <w:rPr>
          <w:rFonts w:hint="eastAsia"/>
          <w:szCs w:val="24"/>
        </w:rPr>
        <w:t>G.1.3.2 测量重复性引入的不确定度</w:t>
      </w:r>
      <m:oMath>
        <m:sSub>
          <w:bookmarkStart w:id="62" w:name="OLE_LINK13"/>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acc>
        <m:r>
          <m:rPr/>
          <w:rPr>
            <w:rFonts w:ascii="Cambria Math" w:hAnsi="Cambria Math"/>
          </w:rPr>
          <m:t>)</m:t>
        </m:r>
        <w:bookmarkEnd w:id="62"/>
      </m:oMath>
    </w:p>
    <w:p w14:paraId="5365D41A">
      <w:pPr>
        <w:adjustRightInd w:val="0"/>
        <w:snapToGrid w:val="0"/>
        <w:spacing w:before="156" w:beforeLines="50"/>
        <w:ind w:firstLine="480" w:firstLineChars="200"/>
        <w:rPr>
          <w:szCs w:val="24"/>
        </w:rPr>
      </w:pPr>
      <w:r>
        <w:rPr>
          <w:rFonts w:hint="eastAsia"/>
          <w:szCs w:val="24"/>
        </w:rPr>
        <w:t>用仪器测量分子量标准物质的分子量，平行测量3次，测量结果为60300Da、61550Da、64780Da，用极差法计算，测量结果差值</w:t>
      </w:r>
      <w:r>
        <w:rPr>
          <w:rFonts w:hint="eastAsia"/>
          <w:i/>
          <w:iCs/>
          <w:szCs w:val="24"/>
        </w:rPr>
        <w:t>R</w:t>
      </w:r>
      <w:r>
        <w:rPr>
          <w:rFonts w:hint="eastAsia"/>
          <w:szCs w:val="24"/>
        </w:rPr>
        <w:t>=4480Da，极差系数</w:t>
      </w:r>
      <w:r>
        <w:rPr>
          <w:rFonts w:hint="eastAsia"/>
          <w:i/>
          <w:iCs/>
          <w:szCs w:val="24"/>
        </w:rPr>
        <w:t>C</w:t>
      </w:r>
      <w:r>
        <w:rPr>
          <w:rFonts w:hint="eastAsia"/>
          <w:szCs w:val="24"/>
        </w:rPr>
        <w:t>=1.69。</w:t>
      </w:r>
    </w:p>
    <w:p w14:paraId="7232E128">
      <w:pPr>
        <w:adjustRightInd w:val="0"/>
        <w:snapToGrid w:val="0"/>
        <w:spacing w:before="156" w:beforeLines="50"/>
        <w:rPr>
          <w:szCs w:val="24"/>
        </w:rPr>
      </w:pPr>
      <m:oMathPara>
        <m:oMath>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d>
            <m:dPr>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acc>
              <m:ctrlPr>
                <w:rPr>
                  <w:rFonts w:ascii="Cambria Math" w:hAnsi="Cambria Math"/>
                  <w:i/>
                </w:rPr>
              </m:ctrlPr>
            </m:e>
          </m:d>
          <m:r>
            <m:rPr/>
            <w:rPr>
              <w:rFonts w:ascii="Cambria Math" w:hAnsi="Cambria Math"/>
            </w:rPr>
            <m:t>=</m:t>
          </m:r>
          <m:f>
            <m:fPr>
              <m:ctrlPr>
                <w:rPr>
                  <w:rFonts w:ascii="Cambria Math" w:hAnsi="Cambria Math"/>
                  <w:i/>
                </w:rPr>
              </m:ctrlPr>
            </m:fPr>
            <m:num>
              <m:r>
                <m:rPr/>
                <w:rPr>
                  <w:rFonts w:ascii="Cambria Math" w:hAnsi="Cambria Math"/>
                </w:rPr>
                <m:t>4480</m:t>
              </m:r>
              <m:ctrlPr>
                <w:rPr>
                  <w:rFonts w:ascii="Cambria Math" w:hAnsi="Cambria Math"/>
                  <w:i/>
                </w:rPr>
              </m:ctrlPr>
            </m:num>
            <m:den>
              <m:r>
                <m:rPr/>
                <w:rPr>
                  <w:rFonts w:ascii="Cambria Math" w:hAnsi="Cambria Math"/>
                </w:rPr>
                <m:t>1.69×</m:t>
              </m:r>
              <m:rad>
                <m:radPr>
                  <m:degHide m:val="1"/>
                  <m:ctrlPr>
                    <w:rPr>
                      <w:rFonts w:ascii="Cambria Math" w:hAnsi="Cambria Math"/>
                      <w:i/>
                    </w:rPr>
                  </m:ctrlPr>
                </m:radPr>
                <m:deg>
                  <m:ctrlPr>
                    <w:rPr>
                      <w:rFonts w:ascii="Cambria Math" w:hAnsi="Cambria Math"/>
                      <w:i/>
                    </w:rPr>
                  </m:ctrlPr>
                </m:deg>
                <m:e>
                  <m:r>
                    <m:rPr/>
                    <w:rPr>
                      <w:rFonts w:ascii="Cambria Math" w:hAnsi="Cambria Math"/>
                    </w:rPr>
                    <m:t>3</m:t>
                  </m:r>
                  <m:ctrlPr>
                    <w:rPr>
                      <w:rFonts w:ascii="Cambria Math" w:hAnsi="Cambria Math"/>
                      <w:i/>
                    </w:rPr>
                  </m:ctrlPr>
                </m:e>
              </m:rad>
              <m:r>
                <m:rPr/>
                <w:rPr>
                  <w:rFonts w:ascii="Cambria Math" w:hAnsi="Cambria Math"/>
                </w:rPr>
                <m:t>×66446</m:t>
              </m:r>
              <m:ctrlPr>
                <w:rPr>
                  <w:rFonts w:ascii="Cambria Math" w:hAnsi="Cambria Math"/>
                  <w:i/>
                </w:rPr>
              </m:ctrlPr>
            </m:den>
          </m:f>
          <m:r>
            <m:rPr/>
            <w:rPr>
              <w:rFonts w:ascii="Cambria Math" w:hAnsi="Cambria Math"/>
            </w:rPr>
            <m:t>=2.3%</m:t>
          </m:r>
        </m:oMath>
      </m:oMathPara>
    </w:p>
    <w:p w14:paraId="41B970C9">
      <w:pPr>
        <w:adjustRightInd w:val="0"/>
        <w:snapToGrid w:val="0"/>
        <w:spacing w:before="156" w:beforeLines="50"/>
        <w:rPr>
          <w:szCs w:val="24"/>
        </w:rPr>
      </w:pPr>
      <w:r>
        <w:rPr>
          <w:rFonts w:hint="eastAsia"/>
          <w:szCs w:val="24"/>
        </w:rPr>
        <w:t>G.1.3.3 合成标准不确定度</w:t>
      </w:r>
    </w:p>
    <w:p w14:paraId="684B015C">
      <w:pPr>
        <w:adjustRightInd w:val="0"/>
        <w:snapToGrid w:val="0"/>
        <w:spacing w:before="156" w:beforeLines="50"/>
        <w:rPr>
          <w:szCs w:val="24"/>
        </w:rPr>
      </w:pPr>
      <m:oMathPara>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m:t>
          </m:r>
          <m:rad>
            <m:radPr>
              <m:degHide m:val="1"/>
              <m:ctrlPr>
                <w:rPr>
                  <w:rFonts w:ascii="Cambria Math" w:hAnsi="Cambria Math"/>
                  <w:i/>
                  <w:szCs w:val="24"/>
                </w:rPr>
              </m:ctrlPr>
            </m:radPr>
            <m:deg>
              <m:ctrlPr>
                <w:rPr>
                  <w:rFonts w:ascii="Cambria Math" w:hAnsi="Cambria Math"/>
                  <w:i/>
                  <w:szCs w:val="24"/>
                </w:rPr>
              </m:ctrlPr>
            </m:deg>
            <m:e>
              <m:sSup>
                <m:sSupPr>
                  <m:ctrlPr>
                    <w:rPr>
                      <w:rFonts w:ascii="Cambria Math" w:hAnsi="Cambria Math"/>
                      <w:i/>
                      <w:szCs w:val="24"/>
                    </w:rPr>
                  </m:ctrlPr>
                </m:sSupPr>
                <m:e>
                  <m:d>
                    <m:dPr>
                      <m:ctrlPr>
                        <w:rPr>
                          <w:rFonts w:ascii="Cambria Math" w:hAnsi="Cambria Math"/>
                          <w:i/>
                          <w:szCs w:val="24"/>
                        </w:rPr>
                      </m:ctrlPr>
                    </m:dPr>
                    <m:e>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d>
                        <m:dPr>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r>
                                    <m:rPr/>
                                    <w:rPr>
                                      <w:rFonts w:hint="eastAsia" w:ascii="Cambria Math" w:hAnsi="Cambria Math"/>
                                    </w:rPr>
                                    <m:t>标</m:t>
                                  </m:r>
                                  <m:ctrlPr>
                                    <w:rPr>
                                      <w:rFonts w:ascii="Cambria Math" w:hAnsi="Cambria Math"/>
                                      <w:i/>
                                    </w:rPr>
                                  </m:ctrlPr>
                                </m:sub>
                              </m:sSub>
                              <m:ctrlPr>
                                <w:rPr>
                                  <w:rFonts w:ascii="Cambria Math" w:hAnsi="Cambria Math"/>
                                  <w:i/>
                                </w:rPr>
                              </m:ctrlPr>
                            </m:e>
                          </m:acc>
                          <m:ctrlPr>
                            <w:rPr>
                              <w:rFonts w:ascii="Cambria Math" w:hAnsi="Cambria Math"/>
                              <w:i/>
                            </w:rPr>
                          </m:ctrlPr>
                        </m:e>
                      </m:d>
                      <m:ctrlPr>
                        <w:rPr>
                          <w:rFonts w:ascii="Cambria Math" w:hAnsi="Cambria Math"/>
                          <w:i/>
                          <w:szCs w:val="24"/>
                        </w:rPr>
                      </m:ctrlPr>
                    </m:e>
                  </m:d>
                  <m:ctrlPr>
                    <w:rPr>
                      <w:rFonts w:ascii="Cambria Math" w:hAnsi="Cambria Math"/>
                      <w:i/>
                      <w:szCs w:val="24"/>
                    </w:rPr>
                  </m:ctrlPr>
                </m:e>
                <m:sup>
                  <m:r>
                    <m:rPr/>
                    <w:rPr>
                      <w:rFonts w:ascii="Cambria Math" w:hAnsi="Cambria Math"/>
                      <w:szCs w:val="24"/>
                    </w:rPr>
                    <m:t>2</m:t>
                  </m:r>
                  <m:ctrlPr>
                    <w:rPr>
                      <w:rFonts w:ascii="Cambria Math" w:hAnsi="Cambria Math"/>
                      <w:i/>
                      <w:szCs w:val="24"/>
                    </w:rPr>
                  </m:ctrlPr>
                </m:sup>
              </m:sSup>
              <m:r>
                <m:rPr/>
                <w:rPr>
                  <w:rFonts w:ascii="Cambria Math" w:hAnsi="Cambria Math"/>
                  <w:szCs w:val="24"/>
                </w:rPr>
                <m:t>+</m:t>
              </m:r>
              <m:sSup>
                <m:sSupPr>
                  <m:ctrlPr>
                    <w:rPr>
                      <w:rFonts w:ascii="Cambria Math" w:hAnsi="Cambria Math"/>
                      <w:i/>
                      <w:szCs w:val="24"/>
                    </w:rPr>
                  </m:ctrlPr>
                </m:sSupPr>
                <m:e>
                  <m:d>
                    <m:dPr>
                      <m:ctrlPr>
                        <w:rPr>
                          <w:rFonts w:ascii="Cambria Math" w:hAnsi="Cambria Math"/>
                          <w:i/>
                          <w:szCs w:val="24"/>
                        </w:rPr>
                      </m:ctrlPr>
                    </m:dPr>
                    <m:e>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d>
                        <m:dPr>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acc>
                          <m:ctrlPr>
                            <w:rPr>
                              <w:rFonts w:ascii="Cambria Math" w:hAnsi="Cambria Math"/>
                              <w:i/>
                            </w:rPr>
                          </m:ctrlPr>
                        </m:e>
                      </m:d>
                      <m:ctrlPr>
                        <w:rPr>
                          <w:rFonts w:ascii="Cambria Math" w:hAnsi="Cambria Math"/>
                          <w:i/>
                          <w:szCs w:val="24"/>
                        </w:rPr>
                      </m:ctrlPr>
                    </m:e>
                  </m:d>
                  <m:ctrlPr>
                    <w:rPr>
                      <w:rFonts w:ascii="Cambria Math" w:hAnsi="Cambria Math"/>
                      <w:i/>
                      <w:szCs w:val="24"/>
                    </w:rPr>
                  </m:ctrlPr>
                </m:e>
                <m:sup>
                  <m:r>
                    <m:rPr/>
                    <w:rPr>
                      <w:rFonts w:ascii="Cambria Math" w:hAnsi="Cambria Math"/>
                      <w:szCs w:val="24"/>
                    </w:rPr>
                    <m:t>2</m:t>
                  </m:r>
                  <m:ctrlPr>
                    <w:rPr>
                      <w:rFonts w:ascii="Cambria Math" w:hAnsi="Cambria Math"/>
                      <w:i/>
                      <w:szCs w:val="24"/>
                    </w:rPr>
                  </m:ctrlPr>
                </m:sup>
              </m:sSup>
              <m:ctrlPr>
                <w:rPr>
                  <w:rFonts w:ascii="Cambria Math" w:hAnsi="Cambria Math"/>
                  <w:i/>
                  <w:szCs w:val="24"/>
                </w:rPr>
              </m:ctrlPr>
            </m:e>
          </m:rad>
          <m:r>
            <m:rPr/>
            <w:rPr>
              <w:rFonts w:ascii="Cambria Math" w:hAnsi="Cambria Math"/>
              <w:szCs w:val="24"/>
            </w:rPr>
            <m:t>=2.3%</m:t>
          </m:r>
        </m:oMath>
      </m:oMathPara>
    </w:p>
    <w:p w14:paraId="6CEB7134">
      <w:pPr>
        <w:adjustRightInd w:val="0"/>
        <w:snapToGrid w:val="0"/>
        <w:spacing w:before="156" w:beforeLines="50"/>
      </w:pPr>
      <w:r>
        <w:rPr>
          <w:rFonts w:hint="eastAsia"/>
          <w:szCs w:val="24"/>
        </w:rPr>
        <w:t>G1.3.5 相对扩展不确定度</w:t>
      </w: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hint="eastAsia" w:ascii="Cambria Math" w:hAnsi="Cambria Math"/>
              </w:rPr>
              <m:t>rel</m:t>
            </m:r>
            <m:ctrlPr>
              <w:rPr>
                <w:rFonts w:ascii="Cambria Math" w:hAnsi="Cambria Math"/>
                <w:i/>
              </w:rPr>
            </m:ctrlPr>
          </m:sub>
        </m:sSub>
      </m:oMath>
    </w:p>
    <w:p w14:paraId="011B98E4">
      <w:pPr>
        <w:adjustRightInd w:val="0"/>
        <w:snapToGrid w:val="0"/>
        <w:spacing w:before="156" w:beforeLines="50"/>
      </w:pPr>
      <m:oMathPara>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hint="eastAsia" w:ascii="Cambria Math" w:hAnsi="Cambria Math"/>
                </w:rPr>
                <m:t>rel</m:t>
              </m:r>
              <m:ctrlPr>
                <w:rPr>
                  <w:rFonts w:ascii="Cambria Math" w:hAnsi="Cambria Math"/>
                  <w:i/>
                </w:rPr>
              </m:ctrlPr>
            </m:sub>
          </m:sSub>
          <m:r>
            <m:rPr/>
            <w:rPr>
              <w:rFonts w:ascii="Cambria Math" w:hAnsi="Cambria Math"/>
            </w:rPr>
            <m:t>=</m:t>
          </m:r>
          <m:r>
            <m:rPr/>
            <w:rPr>
              <w:rFonts w:hint="eastAsia" w:ascii="Cambria Math" w:hAnsi="Cambria Math"/>
            </w:rPr>
            <m:t>k</m:t>
          </m:r>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=2×2.3%=4.6% (k=2)</m:t>
          </m:r>
        </m:oMath>
      </m:oMathPara>
    </w:p>
    <w:p w14:paraId="453B033B">
      <w:pPr>
        <w:adjustRightInd w:val="0"/>
        <w:snapToGrid w:val="0"/>
        <w:spacing w:before="156" w:beforeLines="50"/>
        <w:rPr>
          <w:szCs w:val="24"/>
        </w:rPr>
      </w:pPr>
      <w:r>
        <w:rPr>
          <w:rFonts w:hint="eastAsia"/>
          <w:szCs w:val="24"/>
        </w:rPr>
        <w:t>G.2 回转半径示值误差的不确定度评定</w:t>
      </w:r>
    </w:p>
    <w:p w14:paraId="7EE93585">
      <w:pPr>
        <w:adjustRightInd w:val="0"/>
        <w:snapToGrid w:val="0"/>
        <w:spacing w:before="156" w:beforeLines="50"/>
        <w:rPr>
          <w:szCs w:val="24"/>
        </w:rPr>
      </w:pPr>
      <w:r>
        <w:rPr>
          <w:rFonts w:hint="eastAsia"/>
          <w:szCs w:val="24"/>
        </w:rPr>
        <w:t>G.2.1 建立测量模型</w:t>
      </w:r>
    </w:p>
    <w:p w14:paraId="1F9FD4E3">
      <w:pPr>
        <w:adjustRightInd w:val="0"/>
        <w:snapToGrid w:val="0"/>
        <w:spacing w:before="156" w:beforeLines="50"/>
        <w:rPr>
          <w:szCs w:val="24"/>
        </w:rPr>
      </w:pPr>
      <m:oMathPara>
        <m:oMath>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acc>
          <m:r>
            <m:rPr/>
            <w:rPr>
              <w:rFonts w:ascii="Cambria Math" w:hAnsi="Cambria Math"/>
            </w:rPr>
            <m:t>=</m:t>
          </m:r>
          <m:f>
            <m:fPr>
              <m:ctrlPr>
                <w:rPr>
                  <w:rFonts w:ascii="Cambria Math" w:hAnsi="Cambria Math"/>
                  <w:i/>
                </w:rPr>
              </m:ctrlPr>
            </m:fPr>
            <m:num>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acc>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r>
                        <m:rPr/>
                        <w:rPr>
                          <w:rFonts w:hint="eastAsia" w:ascii="Cambria Math" w:hAnsi="Cambria Math"/>
                        </w:rPr>
                        <m:t>标</m:t>
                      </m:r>
                      <m:ctrlPr>
                        <w:rPr>
                          <w:rFonts w:ascii="Cambria Math" w:hAnsi="Cambria Math"/>
                          <w:i/>
                        </w:rPr>
                      </m:ctrlPr>
                    </m:sub>
                  </m:sSub>
                  <m:ctrlPr>
                    <w:rPr>
                      <w:rFonts w:ascii="Cambria Math" w:hAnsi="Cambria Math"/>
                      <w:i/>
                    </w:rPr>
                  </m:ctrlPr>
                </m:e>
              </m:acc>
              <m:ctrlPr>
                <w:rPr>
                  <w:rFonts w:ascii="Cambria Math" w:hAnsi="Cambria Math"/>
                  <w:i/>
                </w:rPr>
              </m:ctrlPr>
            </m:num>
            <m:den>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r>
                        <m:rPr/>
                        <w:rPr>
                          <w:rFonts w:hint="eastAsia" w:ascii="Cambria Math" w:hAnsi="Cambria Math"/>
                        </w:rPr>
                        <m:t>标</m:t>
                      </m:r>
                      <m:ctrlPr>
                        <w:rPr>
                          <w:rFonts w:ascii="Cambria Math" w:hAnsi="Cambria Math"/>
                          <w:i/>
                        </w:rPr>
                      </m:ctrlPr>
                    </m:sub>
                  </m:sSub>
                  <m:ctrlPr>
                    <w:rPr>
                      <w:rFonts w:ascii="Cambria Math" w:hAnsi="Cambria Math"/>
                      <w:i/>
                    </w:rPr>
                  </m:ctrlPr>
                </m:e>
              </m:acc>
              <m:ctrlPr>
                <w:rPr>
                  <w:rFonts w:ascii="Cambria Math" w:hAnsi="Cambria Math"/>
                  <w:i/>
                </w:rPr>
              </m:ctrlPr>
            </m:den>
          </m:f>
          <m:r>
            <m:rPr/>
            <w:rPr>
              <w:rFonts w:ascii="Cambria Math" w:hAnsi="Cambria Math"/>
            </w:rPr>
            <m:t>×100%</m:t>
          </m:r>
        </m:oMath>
      </m:oMathPara>
    </w:p>
    <w:p w14:paraId="4F22C65F">
      <w:pPr>
        <w:ind w:firstLine="480" w:firstLineChars="200"/>
        <w:rPr>
          <w:szCs w:val="24"/>
        </w:rPr>
      </w:pPr>
      <w:r>
        <w:rPr>
          <w:szCs w:val="24"/>
        </w:rPr>
        <w:t>式中：</w:t>
      </w:r>
    </w:p>
    <w:p w14:paraId="23D3D59E">
      <w:pPr>
        <w:ind w:firstLine="480" w:firstLineChars="200"/>
      </w:pPr>
      <m:oMath>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acc>
      </m:oMath>
      <w:r>
        <w:tab/>
      </w:r>
      <w:r>
        <w:tab/>
      </w:r>
      <w:r>
        <w:rPr>
          <w:rFonts w:hint="eastAsia"/>
        </w:rPr>
        <w:t>——回转半径的测量误差；</w:t>
      </w:r>
    </w:p>
    <w:p w14:paraId="10B6E385">
      <w:pPr>
        <w:ind w:firstLine="480" w:firstLineChars="200"/>
      </w:pPr>
      <m:oMath>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acc>
      </m:oMath>
      <w:r>
        <w:tab/>
      </w:r>
      <w:r>
        <w:tab/>
      </w:r>
      <w:r>
        <w:rPr>
          <w:rFonts w:hint="eastAsia"/>
        </w:rPr>
        <w:t>——回转半径测量平均值，nm；</w:t>
      </w:r>
    </w:p>
    <w:p w14:paraId="534325FB">
      <w:pPr>
        <w:ind w:firstLine="480" w:firstLineChars="200"/>
      </w:pPr>
      <m:oMath>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r>
                  <m:rPr/>
                  <w:rPr>
                    <w:rFonts w:hint="eastAsia" w:ascii="Cambria Math" w:hAnsi="Cambria Math"/>
                  </w:rPr>
                  <m:t>标</m:t>
                </m:r>
                <m:ctrlPr>
                  <w:rPr>
                    <w:rFonts w:ascii="Cambria Math" w:hAnsi="Cambria Math"/>
                    <w:i/>
                  </w:rPr>
                </m:ctrlPr>
              </m:sub>
            </m:sSub>
            <m:ctrlPr>
              <w:rPr>
                <w:rFonts w:ascii="Cambria Math" w:hAnsi="Cambria Math"/>
                <w:i/>
              </w:rPr>
            </m:ctrlPr>
          </m:e>
        </m:acc>
      </m:oMath>
      <w:r>
        <w:tab/>
      </w:r>
      <w:r>
        <w:rPr>
          <w:rFonts w:hint="eastAsia"/>
        </w:rPr>
        <w:t>——标准物质的回转半径标准值，nm。</w:t>
      </w:r>
    </w:p>
    <w:p w14:paraId="4CCA4D28">
      <w:pPr>
        <w:adjustRightInd w:val="0"/>
        <w:snapToGrid w:val="0"/>
        <w:spacing w:before="156" w:beforeLines="50"/>
        <w:ind w:firstLine="480" w:firstLineChars="200"/>
      </w:pPr>
      <w:r>
        <w:rPr>
          <w:rFonts w:hint="eastAsia"/>
          <w:szCs w:val="24"/>
        </w:rPr>
        <w:t>测量模型中</w:t>
      </w:r>
      <m:oMath>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hint="eastAsia" w:ascii="Cambria Math" w:hAnsi="Cambria Math"/>
                  </w:rPr>
                  <m:t>g</m:t>
                </m:r>
                <m:ctrlPr>
                  <w:rPr>
                    <w:rFonts w:ascii="Cambria Math" w:hAnsi="Cambria Math"/>
                    <w:i/>
                  </w:rPr>
                </m:ctrlPr>
              </m:sub>
            </m:sSub>
            <m:ctrlPr>
              <w:rPr>
                <w:rFonts w:ascii="Cambria Math" w:hAnsi="Cambria Math"/>
                <w:i/>
              </w:rPr>
            </m:ctrlPr>
          </m:e>
        </m:acc>
      </m:oMath>
      <w:r>
        <w:rPr>
          <w:rFonts w:hint="eastAsia"/>
        </w:rPr>
        <w:t>与</w:t>
      </w:r>
      <m:oMath>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r>
                  <m:rPr/>
                  <w:rPr>
                    <w:rFonts w:hint="eastAsia" w:ascii="Cambria Math" w:hAnsi="Cambria Math"/>
                  </w:rPr>
                  <m:t>标</m:t>
                </m:r>
                <m:ctrlPr>
                  <w:rPr>
                    <w:rFonts w:ascii="Cambria Math" w:hAnsi="Cambria Math"/>
                    <w:i/>
                  </w:rPr>
                </m:ctrlPr>
              </m:sub>
            </m:sSub>
            <m:ctrlPr>
              <w:rPr>
                <w:rFonts w:ascii="Cambria Math" w:hAnsi="Cambria Math"/>
                <w:i/>
              </w:rPr>
            </m:ctrlPr>
          </m:e>
        </m:acc>
      </m:oMath>
      <w:r>
        <w:rPr>
          <w:rFonts w:hint="eastAsia"/>
        </w:rPr>
        <w:t>相互独立，则有：</w:t>
      </w:r>
    </w:p>
    <w:p w14:paraId="07FEC9E2">
      <w:pPr>
        <w:adjustRightInd w:val="0"/>
        <w:snapToGrid w:val="0"/>
        <w:spacing w:before="156" w:beforeLines="50"/>
        <w:rPr>
          <w:szCs w:val="24"/>
        </w:rPr>
      </w:pPr>
      <m:oMathPara>
        <m:oMath>
          <m:f>
            <m:fPr>
              <m:ctrlPr>
                <w:rPr>
                  <w:rFonts w:ascii="Cambria Math" w:hAnsi="Cambria Math"/>
                  <w:i/>
                  <w:szCs w:val="24"/>
                </w:rPr>
              </m:ctrlPr>
            </m:fPr>
            <m:num>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acc>
              <m:r>
                <m:rPr/>
                <w:rPr>
                  <w:rFonts w:ascii="Cambria Math" w:hAnsi="Cambria Math"/>
                </w:rPr>
                <m:t>)</m:t>
              </m:r>
              <m:ctrlPr>
                <w:rPr>
                  <w:rFonts w:ascii="Cambria Math" w:hAnsi="Cambria Math"/>
                  <w:i/>
                  <w:szCs w:val="24"/>
                </w:rPr>
              </m:ctrlPr>
            </m:num>
            <m:den>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acc>
              <m:ctrlPr>
                <w:rPr>
                  <w:rFonts w:ascii="Cambria Math" w:hAnsi="Cambria Math"/>
                  <w:i/>
                  <w:szCs w:val="24"/>
                </w:rPr>
              </m:ctrlPr>
            </m:den>
          </m:f>
          <m:r>
            <m:rPr/>
            <w:rPr>
              <w:rFonts w:ascii="Cambria Math" w:hAnsi="Cambria Math"/>
              <w:szCs w:val="24"/>
            </w:rPr>
            <m:t>=</m:t>
          </m:r>
          <m:rad>
            <m:radPr>
              <m:degHide m:val="1"/>
              <m:ctrlPr>
                <w:rPr>
                  <w:rFonts w:ascii="Cambria Math" w:hAnsi="Cambria Math"/>
                  <w:i/>
                  <w:szCs w:val="24"/>
                </w:rPr>
              </m:ctrlPr>
            </m:radPr>
            <m:deg>
              <m:ctrlPr>
                <w:rPr>
                  <w:rFonts w:ascii="Cambria Math" w:hAnsi="Cambria Math"/>
                  <w:i/>
                  <w:szCs w:val="24"/>
                </w:rPr>
              </m:ctrlPr>
            </m:deg>
            <m:e>
              <m:sSup>
                <m:sSupPr>
                  <m:ctrlPr>
                    <w:rPr>
                      <w:rFonts w:ascii="Cambria Math" w:hAnsi="Cambria Math"/>
                      <w:i/>
                      <w:szCs w:val="24"/>
                    </w:rPr>
                  </m:ctrlPr>
                </m:sSupPr>
                <m:e>
                  <m:d>
                    <m:dPr>
                      <m:ctrlPr>
                        <w:rPr>
                          <w:rFonts w:ascii="Cambria Math" w:hAnsi="Cambria Math"/>
                          <w:i/>
                          <w:szCs w:val="24"/>
                        </w:rPr>
                      </m:ctrlPr>
                    </m:dPr>
                    <m:e>
                      <m:f>
                        <m:fPr>
                          <m:ctrlPr>
                            <w:rPr>
                              <w:rFonts w:ascii="Cambria Math" w:hAnsi="Cambria Math"/>
                              <w:i/>
                              <w:szCs w:val="24"/>
                            </w:rPr>
                          </m:ctrlPr>
                        </m:fPr>
                        <m:num>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acc>
                          <m:r>
                            <m:rPr/>
                            <w:rPr>
                              <w:rFonts w:ascii="Cambria Math" w:hAnsi="Cambria Math"/>
                            </w:rPr>
                            <m:t>)</m:t>
                          </m:r>
                          <m:ctrlPr>
                            <w:rPr>
                              <w:rFonts w:ascii="Cambria Math" w:hAnsi="Cambria Math"/>
                              <w:i/>
                              <w:szCs w:val="24"/>
                            </w:rPr>
                          </m:ctrlPr>
                        </m:num>
                        <m:den>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acc>
                          <m:ctrlPr>
                            <w:rPr>
                              <w:rFonts w:ascii="Cambria Math" w:hAnsi="Cambria Math"/>
                              <w:i/>
                              <w:szCs w:val="24"/>
                            </w:rPr>
                          </m:ctrlPr>
                        </m:den>
                      </m:f>
                      <m:ctrlPr>
                        <w:rPr>
                          <w:rFonts w:ascii="Cambria Math" w:hAnsi="Cambria Math"/>
                          <w:i/>
                          <w:szCs w:val="24"/>
                        </w:rPr>
                      </m:ctrlPr>
                    </m:e>
                  </m:d>
                  <m:ctrlPr>
                    <w:rPr>
                      <w:rFonts w:ascii="Cambria Math" w:hAnsi="Cambria Math"/>
                      <w:i/>
                      <w:szCs w:val="24"/>
                    </w:rPr>
                  </m:ctrlPr>
                </m:e>
                <m:sup>
                  <m:r>
                    <m:rPr/>
                    <w:rPr>
                      <w:rFonts w:ascii="Cambria Math" w:hAnsi="Cambria Math"/>
                      <w:szCs w:val="24"/>
                    </w:rPr>
                    <m:t>2</m:t>
                  </m:r>
                  <m:ctrlPr>
                    <w:rPr>
                      <w:rFonts w:ascii="Cambria Math" w:hAnsi="Cambria Math"/>
                      <w:i/>
                      <w:szCs w:val="24"/>
                    </w:rPr>
                  </m:ctrlPr>
                </m:sup>
              </m:sSup>
              <m:r>
                <m:rPr/>
                <w:rPr>
                  <w:rFonts w:ascii="Cambria Math" w:hAnsi="Cambria Math"/>
                  <w:szCs w:val="24"/>
                </w:rPr>
                <m:t>+</m:t>
              </m:r>
              <m:sSup>
                <m:sSupPr>
                  <m:ctrlPr>
                    <w:rPr>
                      <w:rFonts w:ascii="Cambria Math" w:hAnsi="Cambria Math"/>
                      <w:i/>
                      <w:szCs w:val="24"/>
                    </w:rPr>
                  </m:ctrlPr>
                </m:sSupPr>
                <m:e>
                  <m:d>
                    <m:dPr>
                      <m:ctrlPr>
                        <w:rPr>
                          <w:rFonts w:ascii="Cambria Math" w:hAnsi="Cambria Math"/>
                          <w:i/>
                          <w:szCs w:val="24"/>
                        </w:rPr>
                      </m:ctrlPr>
                    </m:dPr>
                    <m:e>
                      <m:f>
                        <m:fPr>
                          <m:ctrlPr>
                            <w:rPr>
                              <w:rFonts w:ascii="Cambria Math" w:hAnsi="Cambria Math"/>
                              <w:i/>
                              <w:szCs w:val="24"/>
                            </w:rPr>
                          </m:ctrlPr>
                        </m:fPr>
                        <m:num>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r>
                                    <m:rPr/>
                                    <w:rPr>
                                      <w:rFonts w:hint="eastAsia" w:ascii="Cambria Math" w:hAnsi="Cambria Math"/>
                                    </w:rPr>
                                    <m:t>标</m:t>
                                  </m:r>
                                  <m:ctrlPr>
                                    <w:rPr>
                                      <w:rFonts w:ascii="Cambria Math" w:hAnsi="Cambria Math"/>
                                      <w:i/>
                                    </w:rPr>
                                  </m:ctrlPr>
                                </m:sub>
                              </m:sSub>
                              <m:ctrlPr>
                                <w:rPr>
                                  <w:rFonts w:ascii="Cambria Math" w:hAnsi="Cambria Math"/>
                                  <w:i/>
                                </w:rPr>
                              </m:ctrlPr>
                            </m:e>
                          </m:acc>
                          <m:r>
                            <m:rPr/>
                            <w:rPr>
                              <w:rFonts w:ascii="Cambria Math" w:hAnsi="Cambria Math"/>
                            </w:rPr>
                            <m:t>)</m:t>
                          </m:r>
                          <m:ctrlPr>
                            <w:rPr>
                              <w:rFonts w:ascii="Cambria Math" w:hAnsi="Cambria Math"/>
                              <w:i/>
                              <w:szCs w:val="24"/>
                            </w:rPr>
                          </m:ctrlPr>
                        </m:num>
                        <m:den>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r>
                                <m:rPr/>
                                <w:rPr>
                                  <w:rFonts w:hint="eastAsia" w:ascii="Cambria Math" w:hAnsi="Cambria Math"/>
                                </w:rPr>
                                <m:t>标</m:t>
                              </m:r>
                              <m:ctrlPr>
                                <w:rPr>
                                  <w:rFonts w:ascii="Cambria Math" w:hAnsi="Cambria Math"/>
                                  <w:i/>
                                </w:rPr>
                              </m:ctrlPr>
                            </m:sub>
                          </m:sSub>
                          <m:ctrlPr>
                            <w:rPr>
                              <w:rFonts w:ascii="Cambria Math" w:hAnsi="Cambria Math"/>
                              <w:i/>
                              <w:szCs w:val="24"/>
                            </w:rPr>
                          </m:ctrlPr>
                        </m:den>
                      </m:f>
                      <m:ctrlPr>
                        <w:rPr>
                          <w:rFonts w:ascii="Cambria Math" w:hAnsi="Cambria Math"/>
                          <w:i/>
                          <w:szCs w:val="24"/>
                        </w:rPr>
                      </m:ctrlPr>
                    </m:e>
                  </m:d>
                  <m:ctrlPr>
                    <w:rPr>
                      <w:rFonts w:ascii="Cambria Math" w:hAnsi="Cambria Math"/>
                      <w:i/>
                      <w:szCs w:val="24"/>
                    </w:rPr>
                  </m:ctrlPr>
                </m:e>
                <m:sup>
                  <m:r>
                    <m:rPr/>
                    <w:rPr>
                      <w:rFonts w:ascii="Cambria Math" w:hAnsi="Cambria Math"/>
                      <w:szCs w:val="24"/>
                    </w:rPr>
                    <m:t>2</m:t>
                  </m:r>
                  <m:ctrlPr>
                    <w:rPr>
                      <w:rFonts w:ascii="Cambria Math" w:hAnsi="Cambria Math"/>
                      <w:i/>
                      <w:szCs w:val="24"/>
                    </w:rPr>
                  </m:ctrlPr>
                </m:sup>
              </m:sSup>
              <m:ctrlPr>
                <w:rPr>
                  <w:rFonts w:ascii="Cambria Math" w:hAnsi="Cambria Math"/>
                  <w:i/>
                  <w:szCs w:val="24"/>
                </w:rPr>
              </m:ctrlPr>
            </m:e>
          </m:rad>
        </m:oMath>
      </m:oMathPara>
    </w:p>
    <w:p w14:paraId="54939394">
      <w:pPr>
        <w:adjustRightInd w:val="0"/>
        <w:snapToGrid w:val="0"/>
        <w:spacing w:before="156" w:beforeLines="50"/>
        <w:rPr>
          <w:szCs w:val="24"/>
        </w:rPr>
      </w:pPr>
      <w:r>
        <w:rPr>
          <w:rFonts w:hint="eastAsia"/>
          <w:szCs w:val="24"/>
        </w:rPr>
        <w:t>G.2.2 标准不确定度评定</w:t>
      </w:r>
    </w:p>
    <w:p w14:paraId="3C91829C">
      <w:pPr>
        <w:adjustRightInd w:val="0"/>
        <w:snapToGrid w:val="0"/>
        <w:spacing w:before="156" w:beforeLines="50"/>
        <w:ind w:firstLine="480" w:firstLineChars="200"/>
        <w:rPr>
          <w:szCs w:val="24"/>
        </w:rPr>
      </w:pPr>
      <w:r>
        <w:rPr>
          <w:rFonts w:hint="eastAsia"/>
          <w:szCs w:val="24"/>
        </w:rPr>
        <w:t>主要不确定度来源：</w:t>
      </w:r>
    </w:p>
    <w:p w14:paraId="354C7F74">
      <w:pPr>
        <w:pStyle w:val="66"/>
        <w:numPr>
          <w:ilvl w:val="0"/>
          <w:numId w:val="4"/>
        </w:numPr>
        <w:adjustRightInd w:val="0"/>
        <w:snapToGrid w:val="0"/>
        <w:spacing w:before="156" w:beforeLines="50"/>
        <w:ind w:firstLineChars="0"/>
        <w:rPr>
          <w:szCs w:val="24"/>
        </w:rPr>
      </w:pPr>
      <w:r>
        <w:rPr>
          <w:rFonts w:hint="eastAsia"/>
          <w:szCs w:val="24"/>
        </w:rPr>
        <w:t>粒度标准物质引入的不确定度；</w:t>
      </w:r>
    </w:p>
    <w:p w14:paraId="52C24461">
      <w:pPr>
        <w:pStyle w:val="66"/>
        <w:numPr>
          <w:ilvl w:val="0"/>
          <w:numId w:val="4"/>
        </w:numPr>
        <w:adjustRightInd w:val="0"/>
        <w:snapToGrid w:val="0"/>
        <w:spacing w:before="156" w:beforeLines="50"/>
        <w:ind w:firstLineChars="0"/>
        <w:rPr>
          <w:szCs w:val="24"/>
        </w:rPr>
      </w:pPr>
      <w:r>
        <w:rPr>
          <w:rFonts w:hint="eastAsia"/>
          <w:szCs w:val="24"/>
        </w:rPr>
        <w:t>测量重复性引入的不确定度；</w:t>
      </w:r>
    </w:p>
    <w:p w14:paraId="01C622C5">
      <w:pPr>
        <w:adjustRightInd w:val="0"/>
        <w:snapToGrid w:val="0"/>
        <w:spacing w:before="156" w:beforeLines="50"/>
      </w:pPr>
      <w:r>
        <w:rPr>
          <w:rFonts w:hint="eastAsia"/>
          <w:szCs w:val="24"/>
        </w:rPr>
        <w:t>G.2.2.1 粒度标准物质引入的不确定度分量</w:t>
      </w:r>
      <m:oMath>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R</m:t>
                </m:r>
                <m:ctrlPr>
                  <w:rPr>
                    <w:rFonts w:ascii="Cambria Math" w:hAnsi="Cambria Math"/>
                    <w:i/>
                  </w:rPr>
                </m:ctrlPr>
              </m:e>
              <m:sub>
                <m:r>
                  <m:rPr/>
                  <w:rPr>
                    <w:rFonts w:ascii="Cambria Math" w:hAnsi="Cambria Math"/>
                  </w:rPr>
                  <m:t>g</m:t>
                </m:r>
                <m:r>
                  <m:rPr/>
                  <w:rPr>
                    <w:rFonts w:hint="eastAsia" w:ascii="Cambria Math" w:hAnsi="Cambria Math"/>
                  </w:rPr>
                  <m:t>标</m:t>
                </m:r>
                <m:ctrlPr>
                  <w:rPr>
                    <w:rFonts w:ascii="Cambria Math" w:hAnsi="Cambria Math"/>
                    <w:i/>
                  </w:rPr>
                </m:ctrlPr>
              </m:sub>
            </m:sSub>
            <m:ctrlPr>
              <w:rPr>
                <w:rFonts w:ascii="Cambria Math" w:hAnsi="Cambria Math"/>
                <w:i/>
              </w:rPr>
            </m:ctrlPr>
          </m:e>
        </m:acc>
        <m:r>
          <m:rPr/>
          <w:rPr>
            <w:rFonts w:ascii="Cambria Math" w:hAnsi="Cambria Math"/>
          </w:rPr>
          <m:t>)</m:t>
        </m:r>
      </m:oMath>
    </w:p>
    <w:p w14:paraId="293097C4">
      <w:pPr>
        <w:adjustRightInd w:val="0"/>
        <w:snapToGrid w:val="0"/>
        <w:spacing w:before="156" w:beforeLines="50"/>
        <w:ind w:firstLine="480" w:firstLineChars="200"/>
      </w:pPr>
      <w:r>
        <w:rPr>
          <w:rFonts w:hint="eastAsia"/>
        </w:rPr>
        <w:t>用编号GBW(E)120090 微粒粒度标准物质（颗粒）标准物质校准仪器，相对标准不确定度为1.1%。</w:t>
      </w:r>
    </w:p>
    <w:p w14:paraId="483AF686">
      <w:pPr>
        <w:adjustRightInd w:val="0"/>
        <w:snapToGrid w:val="0"/>
        <w:spacing w:before="156" w:beforeLines="50"/>
        <w:rPr>
          <w:szCs w:val="24"/>
        </w:rPr>
      </w:pPr>
      <m:oMathPara>
        <m:oMath>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d>
            <m:dPr>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R</m:t>
                      </m:r>
                      <m:ctrlPr>
                        <w:rPr>
                          <w:rFonts w:ascii="Cambria Math" w:hAnsi="Cambria Math"/>
                          <w:i/>
                        </w:rPr>
                      </m:ctrlPr>
                    </m:e>
                    <m:sub>
                      <m:r>
                        <m:rPr/>
                        <w:rPr>
                          <w:rFonts w:ascii="Cambria Math" w:hAnsi="Cambria Math"/>
                        </w:rPr>
                        <m:t>g</m:t>
                      </m:r>
                      <m:r>
                        <m:rPr/>
                        <w:rPr>
                          <w:rFonts w:hint="eastAsia" w:ascii="Cambria Math" w:hAnsi="Cambria Math"/>
                        </w:rPr>
                        <m:t>标</m:t>
                      </m:r>
                      <m:ctrlPr>
                        <w:rPr>
                          <w:rFonts w:ascii="Cambria Math" w:hAnsi="Cambria Math"/>
                          <w:i/>
                        </w:rPr>
                      </m:ctrlPr>
                    </m:sub>
                  </m:sSub>
                  <m:ctrlPr>
                    <w:rPr>
                      <w:rFonts w:ascii="Cambria Math" w:hAnsi="Cambria Math"/>
                      <w:i/>
                    </w:rPr>
                  </m:ctrlPr>
                </m:e>
              </m:acc>
              <m:ctrlPr>
                <w:rPr>
                  <w:rFonts w:ascii="Cambria Math" w:hAnsi="Cambria Math"/>
                  <w:i/>
                </w:rPr>
              </m:ctrlPr>
            </m:e>
          </m:d>
          <m:r>
            <m:rPr/>
            <w:rPr>
              <w:rFonts w:ascii="Cambria Math" w:hAnsi="Cambria Math"/>
            </w:rPr>
            <m:t>=</m:t>
          </m:r>
          <m:f>
            <m:fPr>
              <m:ctrlPr>
                <w:rPr>
                  <w:rFonts w:ascii="Cambria Math" w:hAnsi="Cambria Math"/>
                  <w:i/>
                </w:rPr>
              </m:ctrlPr>
            </m:fPr>
            <m:num>
              <m:r>
                <m:rPr/>
                <w:rPr>
                  <w:rFonts w:ascii="Cambria Math" w:hAnsi="Cambria Math"/>
                </w:rPr>
                <m:t>1.9÷2</m:t>
              </m:r>
              <m:ctrlPr>
                <w:rPr>
                  <w:rFonts w:ascii="Cambria Math" w:hAnsi="Cambria Math"/>
                  <w:i/>
                </w:rPr>
              </m:ctrlPr>
            </m:num>
            <m:den>
              <m:r>
                <m:rPr/>
                <w:rPr>
                  <w:rFonts w:ascii="Cambria Math" w:hAnsi="Cambria Math"/>
                </w:rPr>
                <m:t>84.2</m:t>
              </m:r>
              <m:ctrlPr>
                <w:rPr>
                  <w:rFonts w:ascii="Cambria Math" w:hAnsi="Cambria Math"/>
                  <w:i/>
                </w:rPr>
              </m:ctrlPr>
            </m:den>
          </m:f>
          <m:r>
            <m:rPr/>
            <w:rPr>
              <w:rFonts w:ascii="Cambria Math" w:hAnsi="Cambria Math"/>
            </w:rPr>
            <m:t>=1.1%</m:t>
          </m:r>
        </m:oMath>
      </m:oMathPara>
    </w:p>
    <w:p w14:paraId="191045A1">
      <w:pPr>
        <w:adjustRightInd w:val="0"/>
        <w:snapToGrid w:val="0"/>
        <w:spacing w:before="156" w:beforeLines="50"/>
        <w:rPr>
          <w:szCs w:val="24"/>
        </w:rPr>
      </w:pPr>
      <w:r>
        <w:rPr>
          <w:rFonts w:hint="eastAsia"/>
          <w:szCs w:val="24"/>
        </w:rPr>
        <w:t>G.1.3.2 测量重复性引入的不确定度</w:t>
      </w:r>
      <m:oMath>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r>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acc>
        <m:r>
          <m:rPr/>
          <w:rPr>
            <w:rFonts w:ascii="Cambria Math" w:hAnsi="Cambria Math"/>
          </w:rPr>
          <m:t>)</m:t>
        </m:r>
      </m:oMath>
    </w:p>
    <w:p w14:paraId="204BE7E3">
      <w:pPr>
        <w:adjustRightInd w:val="0"/>
        <w:snapToGrid w:val="0"/>
        <w:spacing w:before="156" w:beforeLines="50"/>
        <w:ind w:firstLine="480" w:firstLineChars="200"/>
        <w:rPr>
          <w:szCs w:val="24"/>
        </w:rPr>
      </w:pPr>
      <w:r>
        <w:rPr>
          <w:rFonts w:hint="eastAsia"/>
          <w:szCs w:val="24"/>
        </w:rPr>
        <w:t>用仪器测量粒度标准物质的回转半径分子量，平行测量3次，测量结果为64.5nm、63.9nm、63.3nm，用极差法计算，测量结果差值</w:t>
      </w:r>
      <w:r>
        <w:rPr>
          <w:rFonts w:hint="eastAsia"/>
          <w:i/>
          <w:iCs/>
          <w:szCs w:val="24"/>
        </w:rPr>
        <w:t>R</w:t>
      </w:r>
      <w:r>
        <w:rPr>
          <w:rFonts w:hint="eastAsia"/>
          <w:szCs w:val="24"/>
        </w:rPr>
        <w:t>=1.2nm，极差系数</w:t>
      </w:r>
      <w:r>
        <w:rPr>
          <w:rFonts w:hint="eastAsia"/>
          <w:i/>
          <w:iCs/>
          <w:szCs w:val="24"/>
        </w:rPr>
        <w:t>C</w:t>
      </w:r>
      <w:r>
        <w:rPr>
          <w:rFonts w:hint="eastAsia"/>
          <w:szCs w:val="24"/>
        </w:rPr>
        <w:t>=1.69。</w:t>
      </w:r>
    </w:p>
    <w:p w14:paraId="1B0BC45C">
      <w:pPr>
        <w:adjustRightInd w:val="0"/>
        <w:snapToGrid w:val="0"/>
        <w:spacing w:before="156" w:beforeLines="50"/>
        <w:rPr>
          <w:szCs w:val="24"/>
        </w:rPr>
      </w:pPr>
      <m:oMathPara>
        <m:oMath>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d>
            <m:dPr>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m:rPr/>
                        <w:rPr>
                          <w:rFonts w:hint="eastAsia"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acc>
              <m:ctrlPr>
                <w:rPr>
                  <w:rFonts w:ascii="Cambria Math" w:hAnsi="Cambria Math"/>
                  <w:i/>
                </w:rPr>
              </m:ctrlPr>
            </m:e>
          </m:d>
          <m:r>
            <m:rPr/>
            <w:rPr>
              <w:rFonts w:ascii="Cambria Math" w:hAnsi="Cambria Math"/>
            </w:rPr>
            <m:t>=</m:t>
          </m:r>
          <m:f>
            <m:fPr>
              <m:ctrlPr>
                <w:rPr>
                  <w:rFonts w:ascii="Cambria Math" w:hAnsi="Cambria Math"/>
                  <w:i/>
                </w:rPr>
              </m:ctrlPr>
            </m:fPr>
            <m:num>
              <m:r>
                <m:rPr/>
                <w:rPr>
                  <w:rFonts w:ascii="Cambria Math" w:hAnsi="Cambria Math"/>
                </w:rPr>
                <m:t>1.2</m:t>
              </m:r>
              <m:ctrlPr>
                <w:rPr>
                  <w:rFonts w:ascii="Cambria Math" w:hAnsi="Cambria Math"/>
                  <w:i/>
                </w:rPr>
              </m:ctrlPr>
            </m:num>
            <m:den>
              <m:r>
                <m:rPr/>
                <w:rPr>
                  <w:rFonts w:ascii="Cambria Math" w:hAnsi="Cambria Math"/>
                </w:rPr>
                <m:t>1.69×</m:t>
              </m:r>
              <m:rad>
                <m:radPr>
                  <m:degHide m:val="1"/>
                  <m:ctrlPr>
                    <w:rPr>
                      <w:rFonts w:ascii="Cambria Math" w:hAnsi="Cambria Math"/>
                      <w:i/>
                    </w:rPr>
                  </m:ctrlPr>
                </m:radPr>
                <m:deg>
                  <m:ctrlPr>
                    <w:rPr>
                      <w:rFonts w:ascii="Cambria Math" w:hAnsi="Cambria Math"/>
                      <w:i/>
                    </w:rPr>
                  </m:ctrlPr>
                </m:deg>
                <m:e>
                  <m:r>
                    <m:rPr/>
                    <w:rPr>
                      <w:rFonts w:ascii="Cambria Math" w:hAnsi="Cambria Math"/>
                    </w:rPr>
                    <m:t>3</m:t>
                  </m:r>
                  <m:ctrlPr>
                    <w:rPr>
                      <w:rFonts w:ascii="Cambria Math" w:hAnsi="Cambria Math"/>
                      <w:i/>
                    </w:rPr>
                  </m:ctrlPr>
                </m:e>
              </m:rad>
              <m:r>
                <m:rPr/>
                <w:rPr>
                  <w:rFonts w:ascii="Cambria Math" w:hAnsi="Cambria Math"/>
                </w:rPr>
                <m:t>×65.1</m:t>
              </m:r>
              <m:ctrlPr>
                <w:rPr>
                  <w:rFonts w:ascii="Cambria Math" w:hAnsi="Cambria Math"/>
                  <w:i/>
                </w:rPr>
              </m:ctrlPr>
            </m:den>
          </m:f>
          <m:r>
            <m:rPr/>
            <w:rPr>
              <w:rFonts w:ascii="Cambria Math" w:hAnsi="Cambria Math"/>
            </w:rPr>
            <m:t>=0.6%</m:t>
          </m:r>
        </m:oMath>
      </m:oMathPara>
    </w:p>
    <w:p w14:paraId="2D78CF8B">
      <w:pPr>
        <w:adjustRightInd w:val="0"/>
        <w:snapToGrid w:val="0"/>
        <w:spacing w:before="156" w:beforeLines="50"/>
        <w:rPr>
          <w:szCs w:val="24"/>
        </w:rPr>
      </w:pPr>
      <w:r>
        <w:rPr>
          <w:rFonts w:hint="eastAsia"/>
          <w:szCs w:val="24"/>
        </w:rPr>
        <w:t>G.1.3.3 合成标准不确定度</w:t>
      </w:r>
    </w:p>
    <w:p w14:paraId="0EBEE456">
      <w:pPr>
        <w:adjustRightInd w:val="0"/>
        <w:snapToGrid w:val="0"/>
        <w:spacing w:before="156" w:beforeLines="50"/>
        <w:rPr>
          <w:szCs w:val="24"/>
        </w:rPr>
      </w:pPr>
      <m:oMathPara>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m:t>
          </m:r>
          <m:rad>
            <m:radPr>
              <m:degHide m:val="1"/>
              <m:ctrlPr>
                <w:rPr>
                  <w:rFonts w:ascii="Cambria Math" w:hAnsi="Cambria Math"/>
                  <w:i/>
                  <w:szCs w:val="24"/>
                </w:rPr>
              </m:ctrlPr>
            </m:radPr>
            <m:deg>
              <m:ctrlPr>
                <w:rPr>
                  <w:rFonts w:ascii="Cambria Math" w:hAnsi="Cambria Math"/>
                  <w:i/>
                  <w:szCs w:val="24"/>
                </w:rPr>
              </m:ctrlPr>
            </m:deg>
            <m:e>
              <m:sSup>
                <m:sSupPr>
                  <m:ctrlPr>
                    <w:rPr>
                      <w:rFonts w:ascii="Cambria Math" w:hAnsi="Cambria Math"/>
                      <w:i/>
                      <w:szCs w:val="24"/>
                    </w:rPr>
                  </m:ctrlPr>
                </m:sSupPr>
                <m:e>
                  <m:d>
                    <m:dPr>
                      <m:ctrlPr>
                        <w:rPr>
                          <w:rFonts w:ascii="Cambria Math" w:hAnsi="Cambria Math"/>
                          <w:i/>
                          <w:szCs w:val="24"/>
                        </w:rPr>
                      </m:ctrlPr>
                    </m:dPr>
                    <m:e>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d>
                        <m:dPr>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r>
                                    <m:rPr/>
                                    <w:rPr>
                                      <w:rFonts w:hint="eastAsia" w:ascii="Cambria Math" w:hAnsi="Cambria Math"/>
                                    </w:rPr>
                                    <m:t>标</m:t>
                                  </m:r>
                                  <m:ctrlPr>
                                    <w:rPr>
                                      <w:rFonts w:ascii="Cambria Math" w:hAnsi="Cambria Math"/>
                                      <w:i/>
                                    </w:rPr>
                                  </m:ctrlPr>
                                </m:sub>
                              </m:sSub>
                              <m:ctrlPr>
                                <w:rPr>
                                  <w:rFonts w:ascii="Cambria Math" w:hAnsi="Cambria Math"/>
                                  <w:i/>
                                </w:rPr>
                              </m:ctrlPr>
                            </m:e>
                          </m:acc>
                          <m:ctrlPr>
                            <w:rPr>
                              <w:rFonts w:ascii="Cambria Math" w:hAnsi="Cambria Math"/>
                              <w:i/>
                            </w:rPr>
                          </m:ctrlPr>
                        </m:e>
                      </m:d>
                      <m:ctrlPr>
                        <w:rPr>
                          <w:rFonts w:ascii="Cambria Math" w:hAnsi="Cambria Math"/>
                          <w:i/>
                          <w:szCs w:val="24"/>
                        </w:rPr>
                      </m:ctrlPr>
                    </m:e>
                  </m:d>
                  <m:ctrlPr>
                    <w:rPr>
                      <w:rFonts w:ascii="Cambria Math" w:hAnsi="Cambria Math"/>
                      <w:i/>
                      <w:szCs w:val="24"/>
                    </w:rPr>
                  </m:ctrlPr>
                </m:e>
                <m:sup>
                  <m:r>
                    <m:rPr/>
                    <w:rPr>
                      <w:rFonts w:ascii="Cambria Math" w:hAnsi="Cambria Math"/>
                      <w:szCs w:val="24"/>
                    </w:rPr>
                    <m:t>2</m:t>
                  </m:r>
                  <m:ctrlPr>
                    <w:rPr>
                      <w:rFonts w:ascii="Cambria Math" w:hAnsi="Cambria Math"/>
                      <w:i/>
                      <w:szCs w:val="24"/>
                    </w:rPr>
                  </m:ctrlPr>
                </m:sup>
              </m:sSup>
              <m:r>
                <m:rPr/>
                <w:rPr>
                  <w:rFonts w:ascii="Cambria Math" w:hAnsi="Cambria Math"/>
                  <w:szCs w:val="24"/>
                </w:rPr>
                <m:t>+</m:t>
              </m:r>
              <m:sSup>
                <m:sSupPr>
                  <m:ctrlPr>
                    <w:rPr>
                      <w:rFonts w:ascii="Cambria Math" w:hAnsi="Cambria Math"/>
                      <w:i/>
                      <w:szCs w:val="24"/>
                    </w:rPr>
                  </m:ctrlPr>
                </m:sSupPr>
                <m:e>
                  <m:d>
                    <m:dPr>
                      <m:ctrlPr>
                        <w:rPr>
                          <w:rFonts w:ascii="Cambria Math" w:hAnsi="Cambria Math"/>
                          <w:i/>
                          <w:szCs w:val="24"/>
                        </w:rPr>
                      </m:ctrlPr>
                    </m:dPr>
                    <m:e>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rel</m:t>
                          </m:r>
                          <m:ctrlPr>
                            <w:rPr>
                              <w:rFonts w:ascii="Cambria Math" w:hAnsi="Cambria Math"/>
                              <w:i/>
                            </w:rPr>
                          </m:ctrlPr>
                        </m:sub>
                      </m:sSub>
                      <m:d>
                        <m:dPr>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g</m:t>
                                  </m:r>
                                  <m:ctrlPr>
                                    <w:rPr>
                                      <w:rFonts w:ascii="Cambria Math" w:hAnsi="Cambria Math"/>
                                      <w:i/>
                                    </w:rPr>
                                  </m:ctrlPr>
                                </m:sub>
                              </m:sSub>
                              <m:ctrlPr>
                                <w:rPr>
                                  <w:rFonts w:ascii="Cambria Math" w:hAnsi="Cambria Math"/>
                                  <w:i/>
                                </w:rPr>
                              </m:ctrlPr>
                            </m:e>
                          </m:acc>
                          <m:ctrlPr>
                            <w:rPr>
                              <w:rFonts w:ascii="Cambria Math" w:hAnsi="Cambria Math"/>
                              <w:i/>
                            </w:rPr>
                          </m:ctrlPr>
                        </m:e>
                      </m:d>
                      <m:ctrlPr>
                        <w:rPr>
                          <w:rFonts w:ascii="Cambria Math" w:hAnsi="Cambria Math"/>
                          <w:i/>
                          <w:szCs w:val="24"/>
                        </w:rPr>
                      </m:ctrlPr>
                    </m:e>
                  </m:d>
                  <m:ctrlPr>
                    <w:rPr>
                      <w:rFonts w:ascii="Cambria Math" w:hAnsi="Cambria Math"/>
                      <w:i/>
                      <w:szCs w:val="24"/>
                    </w:rPr>
                  </m:ctrlPr>
                </m:e>
                <m:sup>
                  <m:r>
                    <m:rPr/>
                    <w:rPr>
                      <w:rFonts w:ascii="Cambria Math" w:hAnsi="Cambria Math"/>
                      <w:szCs w:val="24"/>
                    </w:rPr>
                    <m:t>2</m:t>
                  </m:r>
                  <m:ctrlPr>
                    <w:rPr>
                      <w:rFonts w:ascii="Cambria Math" w:hAnsi="Cambria Math"/>
                      <w:i/>
                      <w:szCs w:val="24"/>
                    </w:rPr>
                  </m:ctrlPr>
                </m:sup>
              </m:sSup>
              <m:ctrlPr>
                <w:rPr>
                  <w:rFonts w:ascii="Cambria Math" w:hAnsi="Cambria Math"/>
                  <w:i/>
                  <w:szCs w:val="24"/>
                </w:rPr>
              </m:ctrlPr>
            </m:e>
          </m:rad>
          <m:r>
            <m:rPr/>
            <w:rPr>
              <w:rFonts w:ascii="Cambria Math" w:hAnsi="Cambria Math"/>
              <w:szCs w:val="24"/>
            </w:rPr>
            <m:t>=1.3%</m:t>
          </m:r>
        </m:oMath>
      </m:oMathPara>
    </w:p>
    <w:p w14:paraId="4C4A6CBE">
      <w:pPr>
        <w:adjustRightInd w:val="0"/>
        <w:snapToGrid w:val="0"/>
        <w:spacing w:before="156" w:beforeLines="50"/>
      </w:pPr>
      <w:r>
        <w:rPr>
          <w:rFonts w:hint="eastAsia"/>
          <w:szCs w:val="24"/>
        </w:rPr>
        <w:t>G1.3.5 相对扩展不确定度</w:t>
      </w: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hint="eastAsia" w:ascii="Cambria Math" w:hAnsi="Cambria Math"/>
              </w:rPr>
              <m:t>rel</m:t>
            </m:r>
            <m:ctrlPr>
              <w:rPr>
                <w:rFonts w:ascii="Cambria Math" w:hAnsi="Cambria Math"/>
                <w:i/>
              </w:rPr>
            </m:ctrlPr>
          </m:sub>
        </m:sSub>
      </m:oMath>
    </w:p>
    <w:p w14:paraId="2933AB0E">
      <w:pPr>
        <w:adjustRightInd w:val="0"/>
        <w:snapToGrid w:val="0"/>
        <w:spacing w:before="156" w:beforeLines="50"/>
      </w:pPr>
      <m:oMathPara>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hint="eastAsia" w:ascii="Cambria Math" w:hAnsi="Cambria Math"/>
                </w:rPr>
                <m:t>rel</m:t>
              </m:r>
              <m:ctrlPr>
                <w:rPr>
                  <w:rFonts w:ascii="Cambria Math" w:hAnsi="Cambria Math"/>
                  <w:i/>
                </w:rPr>
              </m:ctrlPr>
            </m:sub>
          </m:sSub>
          <m:r>
            <m:rPr/>
            <w:rPr>
              <w:rFonts w:ascii="Cambria Math" w:hAnsi="Cambria Math"/>
            </w:rPr>
            <m:t>=</m:t>
          </m:r>
          <m:r>
            <m:rPr/>
            <w:rPr>
              <w:rFonts w:hint="eastAsia" w:ascii="Cambria Math" w:hAnsi="Cambria Math"/>
            </w:rPr>
            <m:t>k</m:t>
          </m:r>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=2×1.3%=2.6% (k=2)</m:t>
          </m:r>
        </m:oMath>
      </m:oMathPara>
    </w:p>
    <w:bookmarkEnd w:id="39"/>
    <w:p w14:paraId="393E1B15">
      <w:pPr>
        <w:adjustRightInd w:val="0"/>
        <w:snapToGrid w:val="0"/>
        <w:spacing w:before="156" w:beforeLines="50"/>
      </w:pPr>
    </w:p>
    <w:sectPr>
      <w:pgSz w:w="11906" w:h="16838"/>
      <w:pgMar w:top="1769" w:right="1531" w:bottom="1440" w:left="1531"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19FD3">
    <w:pPr>
      <w:pStyle w:val="17"/>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C358F">
    <w:pPr>
      <w:pStyle w:val="17"/>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11B36">
    <w:pPr>
      <w:pStyle w:val="17"/>
      <w:jc w:val="right"/>
      <w:rPr>
        <w:rFonts w:ascii="仿宋_GB2312" w:eastAsia="仿宋_GB2312"/>
      </w:rPr>
    </w:pPr>
    <w:r>
      <w:rPr>
        <w:rFonts w:ascii="仿宋_GB2312" w:eastAsia="仿宋_GB2312"/>
      </w:rPr>
      <w:fldChar w:fldCharType="begin"/>
    </w:r>
    <w:r>
      <w:rPr>
        <w:rFonts w:ascii="仿宋_GB2312" w:eastAsia="仿宋_GB2312"/>
      </w:rPr>
      <w:instrText xml:space="preserve">PAGE   \* MERGEFORMAT</w:instrText>
    </w:r>
    <w:r>
      <w:rPr>
        <w:rFonts w:ascii="仿宋_GB2312" w:eastAsia="仿宋_GB2312"/>
      </w:rPr>
      <w:fldChar w:fldCharType="separate"/>
    </w:r>
    <w:r>
      <w:rPr>
        <w:rFonts w:ascii="仿宋_GB2312" w:eastAsia="仿宋_GB2312"/>
        <w:lang w:val="zh-CN"/>
      </w:rPr>
      <w:t>12</w:t>
    </w:r>
    <w:r>
      <w:rPr>
        <w:rFonts w:ascii="仿宋_GB2312" w:eastAsia="仿宋_GB2312"/>
      </w:rPr>
      <w:fldChar w:fldCharType="end"/>
    </w:r>
  </w:p>
  <w:p w14:paraId="74FDDC67">
    <w:pPr>
      <w:pStyle w:val="17"/>
      <w:ind w:right="360"/>
      <w:jc w:val="right"/>
      <w:rPr>
        <w:rFonts w:ascii="仿宋_GB2312" w:eastAsia="仿宋_GB23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CFFCD">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B984A">
    <w:pPr>
      <w:pStyle w:val="1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DCE1B">
    <w:pPr>
      <w:pStyle w:val="18"/>
      <w:rPr>
        <w:rFonts w:ascii="黑体" w:eastAsia="黑体" w:cs="黑体"/>
        <w:sz w:val="21"/>
        <w:szCs w:val="21"/>
      </w:rPr>
    </w:pPr>
    <w:r>
      <w:rPr>
        <w:rFonts w:ascii="黑体" w:eastAsia="黑体" w:cs="黑体"/>
        <w:sz w:val="21"/>
        <w:szCs w:val="21"/>
      </w:rPr>
      <w:t xml:space="preserve">JJF </w:t>
    </w:r>
    <w:r>
      <w:rPr>
        <w:rFonts w:hint="eastAsia" w:ascii="黑体" w:eastAsia="黑体" w:cs="黑体"/>
        <w:sz w:val="21"/>
        <w:szCs w:val="21"/>
      </w:rPr>
      <w:t>XXXX</w:t>
    </w:r>
    <w:r>
      <w:rPr>
        <w:rFonts w:hint="eastAsia" w:ascii="宋体" w:cs="宋体"/>
        <w:kern w:val="0"/>
        <w:sz w:val="21"/>
        <w:szCs w:val="21"/>
      </w:rPr>
      <w:t>─</w:t>
    </w:r>
    <w:r>
      <w:rPr>
        <w:rFonts w:hint="eastAsia" w:ascii="黑体" w:eastAsia="黑体" w:cs="黑体"/>
        <w:sz w:val="21"/>
        <w:szCs w:val="21"/>
      </w:rP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65283">
    <w:pPr>
      <w:pStyle w:val="18"/>
    </w:pPr>
    <w:r>
      <w:rPr>
        <w:rFonts w:ascii="黑体" w:eastAsia="黑体" w:cs="黑体"/>
        <w:sz w:val="21"/>
        <w:szCs w:val="21"/>
      </w:rPr>
      <w:t xml:space="preserve">JJF </w:t>
    </w:r>
    <w:r>
      <w:rPr>
        <w:rFonts w:hint="eastAsia" w:ascii="黑体" w:eastAsia="黑体" w:cs="黑体"/>
        <w:sz w:val="21"/>
        <w:szCs w:val="21"/>
      </w:rPr>
      <w:t>XXXX</w:t>
    </w:r>
    <w:r>
      <w:rPr>
        <w:rFonts w:hint="eastAsia" w:ascii="宋体" w:cs="宋体"/>
        <w:kern w:val="0"/>
        <w:sz w:val="21"/>
        <w:szCs w:val="21"/>
      </w:rPr>
      <w:t>─</w:t>
    </w:r>
    <w:r>
      <w:rPr>
        <w:rFonts w:hint="eastAsia" w:ascii="黑体" w:eastAsia="黑体" w:cs="黑体"/>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6"/>
    <w:multiLevelType w:val="multilevel"/>
    <w:tmpl w:val="00000016"/>
    <w:lvl w:ilvl="0" w:tentative="0">
      <w:start w:val="1"/>
      <w:numFmt w:val="upperLetter"/>
      <w:pStyle w:val="84"/>
      <w:suff w:val="nothing"/>
      <w:lvlText w:val="附 录 %1"/>
      <w:lvlJc w:val="left"/>
      <w:pPr>
        <w:ind w:left="0" w:firstLine="0"/>
      </w:pPr>
      <w:rPr>
        <w:rFonts w:hint="default" w:ascii="Times New Roman" w:hAnsi="Times New Roman" w:eastAsia="黑体" w:cs="Times New Roman"/>
        <w:b w:val="0"/>
        <w:i w:val="0"/>
        <w:sz w:val="28"/>
        <w:szCs w:val="28"/>
      </w:rPr>
    </w:lvl>
    <w:lvl w:ilvl="1" w:tentative="0">
      <w:start w:val="1"/>
      <w:numFmt w:val="decimal"/>
      <w:pStyle w:val="83"/>
      <w:suff w:val="nothing"/>
      <w:lvlText w:val="%1.%2　"/>
      <w:lvlJc w:val="left"/>
      <w:pPr>
        <w:ind w:left="-3261"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3261" w:firstLine="0"/>
      </w:pPr>
      <w:rPr>
        <w:rFonts w:hint="eastAsia" w:ascii="黑体" w:hAnsi="Times New Roman" w:eastAsia="黑体"/>
        <w:b w:val="0"/>
        <w:i w:val="0"/>
        <w:sz w:val="21"/>
      </w:rPr>
    </w:lvl>
    <w:lvl w:ilvl="3" w:tentative="0">
      <w:start w:val="1"/>
      <w:numFmt w:val="decimal"/>
      <w:suff w:val="nothing"/>
      <w:lvlText w:val="%1.%2.%3.%4　"/>
      <w:lvlJc w:val="left"/>
      <w:pPr>
        <w:ind w:left="-3261" w:firstLine="0"/>
      </w:pPr>
      <w:rPr>
        <w:rFonts w:hint="eastAsia" w:ascii="黑体" w:hAnsi="Times New Roman" w:eastAsia="黑体"/>
        <w:b w:val="0"/>
        <w:i w:val="0"/>
        <w:sz w:val="21"/>
      </w:rPr>
    </w:lvl>
    <w:lvl w:ilvl="4" w:tentative="0">
      <w:start w:val="1"/>
      <w:numFmt w:val="decimal"/>
      <w:suff w:val="nothing"/>
      <w:lvlText w:val="%1.%2.%3.%4.%5　"/>
      <w:lvlJc w:val="left"/>
      <w:pPr>
        <w:ind w:left="-3261" w:firstLine="0"/>
      </w:pPr>
      <w:rPr>
        <w:rFonts w:hint="eastAsia" w:ascii="黑体" w:hAnsi="Times New Roman" w:eastAsia="黑体"/>
        <w:b w:val="0"/>
        <w:i w:val="0"/>
        <w:sz w:val="21"/>
      </w:rPr>
    </w:lvl>
    <w:lvl w:ilvl="5" w:tentative="0">
      <w:start w:val="1"/>
      <w:numFmt w:val="decimal"/>
      <w:suff w:val="nothing"/>
      <w:lvlText w:val="%1.%2.%3.%4.%5.%6　"/>
      <w:lvlJc w:val="left"/>
      <w:pPr>
        <w:ind w:left="-3261" w:firstLine="0"/>
      </w:pPr>
      <w:rPr>
        <w:rFonts w:hint="eastAsia" w:ascii="黑体" w:hAnsi="Times New Roman" w:eastAsia="黑体"/>
        <w:b w:val="0"/>
        <w:i w:val="0"/>
        <w:sz w:val="21"/>
      </w:rPr>
    </w:lvl>
    <w:lvl w:ilvl="6" w:tentative="0">
      <w:start w:val="1"/>
      <w:numFmt w:val="decimal"/>
      <w:suff w:val="nothing"/>
      <w:lvlText w:val="%1.%2.%3.%4.%5.%6.%7　"/>
      <w:lvlJc w:val="left"/>
      <w:pPr>
        <w:ind w:left="-3261" w:firstLine="0"/>
      </w:pPr>
      <w:rPr>
        <w:rFonts w:hint="eastAsia" w:ascii="黑体" w:hAnsi="Times New Roman" w:eastAsia="黑体"/>
        <w:b w:val="0"/>
        <w:i w:val="0"/>
        <w:sz w:val="21"/>
      </w:rPr>
    </w:lvl>
    <w:lvl w:ilvl="7" w:tentative="0">
      <w:start w:val="1"/>
      <w:numFmt w:val="decimal"/>
      <w:lvlText w:val="%1.%2.%3.%4.%5.%6.%7.%8"/>
      <w:lvlJc w:val="left"/>
      <w:pPr>
        <w:tabs>
          <w:tab w:val="left" w:pos="1133"/>
        </w:tabs>
        <w:ind w:left="1133" w:hanging="1418"/>
      </w:pPr>
      <w:rPr>
        <w:rFonts w:hint="eastAsia"/>
      </w:rPr>
    </w:lvl>
    <w:lvl w:ilvl="8" w:tentative="0">
      <w:start w:val="1"/>
      <w:numFmt w:val="decimal"/>
      <w:lvlText w:val="%1.%2.%3.%4.%5.%6.%7.%8.%9"/>
      <w:lvlJc w:val="left"/>
      <w:pPr>
        <w:tabs>
          <w:tab w:val="left" w:pos="1841"/>
        </w:tabs>
        <w:ind w:left="1841" w:hanging="1700"/>
      </w:pPr>
      <w:rPr>
        <w:rFonts w:hint="eastAsia"/>
      </w:rPr>
    </w:lvl>
  </w:abstractNum>
  <w:abstractNum w:abstractNumId="1">
    <w:nsid w:val="3D314ADB"/>
    <w:multiLevelType w:val="multilevel"/>
    <w:tmpl w:val="3D314ADB"/>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
    <w:nsid w:val="563D1C6A"/>
    <w:multiLevelType w:val="multilevel"/>
    <w:tmpl w:val="563D1C6A"/>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6CEA2025"/>
    <w:multiLevelType w:val="multilevel"/>
    <w:tmpl w:val="6CEA2025"/>
    <w:lvl w:ilvl="0" w:tentative="0">
      <w:start w:val="1"/>
      <w:numFmt w:val="none"/>
      <w:pStyle w:val="58"/>
      <w:suff w:val="nothing"/>
      <w:lvlText w:val="%1"/>
      <w:lvlJc w:val="left"/>
      <w:rPr>
        <w:rFonts w:hint="default" w:ascii="Times New Roman" w:hAnsi="Times New Roman" w:cs="Times New Roman"/>
        <w:b/>
        <w:bCs/>
        <w:i w:val="0"/>
        <w:iCs w:val="0"/>
        <w:sz w:val="21"/>
        <w:szCs w:val="21"/>
      </w:rPr>
    </w:lvl>
    <w:lvl w:ilvl="1" w:tentative="0">
      <w:start w:val="1"/>
      <w:numFmt w:val="decimal"/>
      <w:pStyle w:val="59"/>
      <w:suff w:val="nothing"/>
      <w:lvlText w:val="%1%2　"/>
      <w:lvlJc w:val="left"/>
      <w:pPr>
        <w:ind w:left="315"/>
      </w:pPr>
      <w:rPr>
        <w:rFonts w:hint="eastAsia" w:ascii="黑体" w:hAnsi="Times New Roman" w:eastAsia="黑体" w:cs="Times New Roman"/>
        <w:b w:val="0"/>
        <w:bCs w:val="0"/>
        <w:i w:val="0"/>
        <w:iCs w:val="0"/>
        <w:sz w:val="21"/>
        <w:szCs w:val="21"/>
      </w:rPr>
    </w:lvl>
    <w:lvl w:ilvl="2" w:tentative="0">
      <w:start w:val="1"/>
      <w:numFmt w:val="decimal"/>
      <w:pStyle w:val="60"/>
      <w:suff w:val="nothing"/>
      <w:lvlText w:val="%1%2.%3　"/>
      <w:lvlJc w:val="left"/>
      <w:pPr>
        <w:ind w:left="2205"/>
      </w:pPr>
      <w:rPr>
        <w:rFonts w:hint="eastAsia" w:ascii="黑体" w:hAnsi="Times New Roman" w:eastAsia="黑体" w:cs="Times New Roman"/>
        <w:b w:val="0"/>
        <w:bCs w:val="0"/>
        <w:i w:val="0"/>
        <w:iCs w:val="0"/>
        <w:sz w:val="21"/>
        <w:szCs w:val="21"/>
      </w:rPr>
    </w:lvl>
    <w:lvl w:ilvl="3" w:tentative="0">
      <w:start w:val="1"/>
      <w:numFmt w:val="decimal"/>
      <w:pStyle w:val="61"/>
      <w:suff w:val="nothing"/>
      <w:lvlText w:val="%1%2.%3.%4　"/>
      <w:lvlJc w:val="left"/>
      <w:rPr>
        <w:rFonts w:hint="eastAsia" w:ascii="黑体" w:hAnsi="Times New Roman" w:eastAsia="黑体" w:cs="Times New Roman"/>
        <w:b w:val="0"/>
        <w:bCs w:val="0"/>
        <w:i w:val="0"/>
        <w:iCs w:val="0"/>
        <w:sz w:val="21"/>
        <w:szCs w:val="21"/>
      </w:rPr>
    </w:lvl>
    <w:lvl w:ilvl="4" w:tentative="0">
      <w:start w:val="1"/>
      <w:numFmt w:val="decimal"/>
      <w:pStyle w:val="62"/>
      <w:suff w:val="nothing"/>
      <w:lvlText w:val="%1%2.%3.%4.%5　"/>
      <w:lvlJc w:val="left"/>
      <w:rPr>
        <w:rFonts w:hint="eastAsia" w:ascii="黑体" w:hAnsi="Times New Roman" w:eastAsia="黑体" w:cs="Times New Roman"/>
        <w:b w:val="0"/>
        <w:bCs w:val="0"/>
        <w:i w:val="0"/>
        <w:iCs w:val="0"/>
        <w:sz w:val="21"/>
        <w:szCs w:val="21"/>
      </w:rPr>
    </w:lvl>
    <w:lvl w:ilvl="5" w:tentative="0">
      <w:start w:val="1"/>
      <w:numFmt w:val="decimal"/>
      <w:pStyle w:val="63"/>
      <w:suff w:val="nothing"/>
      <w:lvlText w:val="%1%2.%3.%4.%5.%6　"/>
      <w:lvlJc w:val="left"/>
      <w:rPr>
        <w:rFonts w:hint="eastAsia" w:ascii="黑体" w:hAnsi="Times New Roman" w:eastAsia="黑体" w:cs="Times New Roman"/>
        <w:b w:val="0"/>
        <w:bCs w:val="0"/>
        <w:i w:val="0"/>
        <w:iCs w:val="0"/>
        <w:sz w:val="21"/>
        <w:szCs w:val="21"/>
      </w:rPr>
    </w:lvl>
    <w:lvl w:ilvl="6" w:tentative="0">
      <w:start w:val="1"/>
      <w:numFmt w:val="decimal"/>
      <w:pStyle w:val="64"/>
      <w:suff w:val="nothing"/>
      <w:lvlText w:val="%1%2.%3.%4.%5.%6.%7　"/>
      <w:lvlJc w:val="left"/>
      <w:rPr>
        <w:rFonts w:hint="eastAsia" w:ascii="黑体" w:hAnsi="Times New Roman" w:eastAsia="黑体" w:cs="Times New Roman"/>
        <w:b w:val="0"/>
        <w:bCs w:val="0"/>
        <w:i w:val="0"/>
        <w:iCs w:val="0"/>
        <w:sz w:val="21"/>
        <w:szCs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noLineBreaksAfter w:lang="zh-CN" w:val="$([{£¥·‘“〈《「『【〔〖〝﹙﹛﹝＄（．［｛￡￥"/>
  <w:noLineBreaksBefore w:lang="zh-CN" w:val="!%),.:;&gt;?]}¢¨°·ˇˉ―‖’”…‰′″›℃∶、。〃〉》」』】〕〗〞︶︺︾﹀﹄﹚﹜﹞！＂％＇），．：；？］｀｜｝～￠"/>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ZkMzRkNGIzZTI3NjY2ODY1OTljZGZkMzViNGQ1MjUifQ=="/>
  </w:docVars>
  <w:rsids>
    <w:rsidRoot w:val="00D77334"/>
    <w:rsid w:val="000011FF"/>
    <w:rsid w:val="00003719"/>
    <w:rsid w:val="000068EB"/>
    <w:rsid w:val="00011006"/>
    <w:rsid w:val="000112D5"/>
    <w:rsid w:val="000157CF"/>
    <w:rsid w:val="00017B79"/>
    <w:rsid w:val="0002224D"/>
    <w:rsid w:val="00023F88"/>
    <w:rsid w:val="00025597"/>
    <w:rsid w:val="000259E9"/>
    <w:rsid w:val="00025D70"/>
    <w:rsid w:val="000270D4"/>
    <w:rsid w:val="0002762E"/>
    <w:rsid w:val="00027890"/>
    <w:rsid w:val="0003244A"/>
    <w:rsid w:val="000333D2"/>
    <w:rsid w:val="000345C2"/>
    <w:rsid w:val="00034FE2"/>
    <w:rsid w:val="00036DF5"/>
    <w:rsid w:val="000404C0"/>
    <w:rsid w:val="0004147C"/>
    <w:rsid w:val="000416EE"/>
    <w:rsid w:val="00044CD7"/>
    <w:rsid w:val="00046502"/>
    <w:rsid w:val="00050878"/>
    <w:rsid w:val="000510FD"/>
    <w:rsid w:val="00053265"/>
    <w:rsid w:val="000563D8"/>
    <w:rsid w:val="000573CF"/>
    <w:rsid w:val="00062333"/>
    <w:rsid w:val="00062BF3"/>
    <w:rsid w:val="000638FA"/>
    <w:rsid w:val="00065B98"/>
    <w:rsid w:val="00066565"/>
    <w:rsid w:val="000669CE"/>
    <w:rsid w:val="00066B01"/>
    <w:rsid w:val="000672F6"/>
    <w:rsid w:val="00067443"/>
    <w:rsid w:val="000677DE"/>
    <w:rsid w:val="00067AD9"/>
    <w:rsid w:val="00067CEE"/>
    <w:rsid w:val="00070A98"/>
    <w:rsid w:val="00072F12"/>
    <w:rsid w:val="000741A8"/>
    <w:rsid w:val="00076E66"/>
    <w:rsid w:val="00081AF4"/>
    <w:rsid w:val="00083819"/>
    <w:rsid w:val="000867E2"/>
    <w:rsid w:val="00087C5D"/>
    <w:rsid w:val="000914CE"/>
    <w:rsid w:val="000941FC"/>
    <w:rsid w:val="0009470B"/>
    <w:rsid w:val="00094960"/>
    <w:rsid w:val="000949B7"/>
    <w:rsid w:val="000952A5"/>
    <w:rsid w:val="00095C92"/>
    <w:rsid w:val="000967BB"/>
    <w:rsid w:val="000A1407"/>
    <w:rsid w:val="000A1C0D"/>
    <w:rsid w:val="000A2F7D"/>
    <w:rsid w:val="000A31BF"/>
    <w:rsid w:val="000A3863"/>
    <w:rsid w:val="000A405C"/>
    <w:rsid w:val="000A54BA"/>
    <w:rsid w:val="000A6F47"/>
    <w:rsid w:val="000A7D05"/>
    <w:rsid w:val="000B0F34"/>
    <w:rsid w:val="000B15F0"/>
    <w:rsid w:val="000B1D6C"/>
    <w:rsid w:val="000B3957"/>
    <w:rsid w:val="000B40E3"/>
    <w:rsid w:val="000B4C7C"/>
    <w:rsid w:val="000B4F38"/>
    <w:rsid w:val="000C0F2B"/>
    <w:rsid w:val="000C274E"/>
    <w:rsid w:val="000C35D1"/>
    <w:rsid w:val="000C6DF3"/>
    <w:rsid w:val="000C7D7A"/>
    <w:rsid w:val="000D1452"/>
    <w:rsid w:val="000D164D"/>
    <w:rsid w:val="000D1883"/>
    <w:rsid w:val="000D22BC"/>
    <w:rsid w:val="000D5534"/>
    <w:rsid w:val="000D5627"/>
    <w:rsid w:val="000D62C4"/>
    <w:rsid w:val="000D65B5"/>
    <w:rsid w:val="000D779E"/>
    <w:rsid w:val="000E02B6"/>
    <w:rsid w:val="000E0E77"/>
    <w:rsid w:val="000E1512"/>
    <w:rsid w:val="000E1EE5"/>
    <w:rsid w:val="000E37E3"/>
    <w:rsid w:val="000E7D91"/>
    <w:rsid w:val="000F0E12"/>
    <w:rsid w:val="000F4863"/>
    <w:rsid w:val="000F6547"/>
    <w:rsid w:val="000F730A"/>
    <w:rsid w:val="001009F1"/>
    <w:rsid w:val="001023AD"/>
    <w:rsid w:val="001024B8"/>
    <w:rsid w:val="00104B0F"/>
    <w:rsid w:val="00106F53"/>
    <w:rsid w:val="00107CDF"/>
    <w:rsid w:val="001100B0"/>
    <w:rsid w:val="0011065C"/>
    <w:rsid w:val="00111B2A"/>
    <w:rsid w:val="0011205D"/>
    <w:rsid w:val="001137FB"/>
    <w:rsid w:val="00114593"/>
    <w:rsid w:val="001166BC"/>
    <w:rsid w:val="001169A8"/>
    <w:rsid w:val="001172B3"/>
    <w:rsid w:val="001177C0"/>
    <w:rsid w:val="00122258"/>
    <w:rsid w:val="00123BA2"/>
    <w:rsid w:val="00123F39"/>
    <w:rsid w:val="0012460A"/>
    <w:rsid w:val="001247A9"/>
    <w:rsid w:val="00124FC0"/>
    <w:rsid w:val="001256D1"/>
    <w:rsid w:val="0012699B"/>
    <w:rsid w:val="00127DE7"/>
    <w:rsid w:val="00131091"/>
    <w:rsid w:val="001317FE"/>
    <w:rsid w:val="00136073"/>
    <w:rsid w:val="00136A0C"/>
    <w:rsid w:val="00137DF6"/>
    <w:rsid w:val="00140C95"/>
    <w:rsid w:val="001420B1"/>
    <w:rsid w:val="001435AC"/>
    <w:rsid w:val="00143DAB"/>
    <w:rsid w:val="00144191"/>
    <w:rsid w:val="001446B5"/>
    <w:rsid w:val="00145AD8"/>
    <w:rsid w:val="00146CE6"/>
    <w:rsid w:val="001479E9"/>
    <w:rsid w:val="001515AB"/>
    <w:rsid w:val="00151C01"/>
    <w:rsid w:val="00151E51"/>
    <w:rsid w:val="00162B06"/>
    <w:rsid w:val="00162F4A"/>
    <w:rsid w:val="00163062"/>
    <w:rsid w:val="00163C33"/>
    <w:rsid w:val="00165725"/>
    <w:rsid w:val="00166E52"/>
    <w:rsid w:val="00167A43"/>
    <w:rsid w:val="0017241A"/>
    <w:rsid w:val="00172810"/>
    <w:rsid w:val="00175D2F"/>
    <w:rsid w:val="00176862"/>
    <w:rsid w:val="001779B5"/>
    <w:rsid w:val="00183E86"/>
    <w:rsid w:val="00184433"/>
    <w:rsid w:val="001857BF"/>
    <w:rsid w:val="00187313"/>
    <w:rsid w:val="00190010"/>
    <w:rsid w:val="0019092A"/>
    <w:rsid w:val="00191CE6"/>
    <w:rsid w:val="00191D9C"/>
    <w:rsid w:val="00193265"/>
    <w:rsid w:val="0019406D"/>
    <w:rsid w:val="00194A4D"/>
    <w:rsid w:val="00195FAF"/>
    <w:rsid w:val="001A0B7B"/>
    <w:rsid w:val="001A1556"/>
    <w:rsid w:val="001A1FC9"/>
    <w:rsid w:val="001A21C1"/>
    <w:rsid w:val="001A32B3"/>
    <w:rsid w:val="001A4448"/>
    <w:rsid w:val="001A4E68"/>
    <w:rsid w:val="001A5413"/>
    <w:rsid w:val="001A6576"/>
    <w:rsid w:val="001A7C7B"/>
    <w:rsid w:val="001B304A"/>
    <w:rsid w:val="001B466E"/>
    <w:rsid w:val="001B51B8"/>
    <w:rsid w:val="001B53DE"/>
    <w:rsid w:val="001B5AED"/>
    <w:rsid w:val="001B7065"/>
    <w:rsid w:val="001C1C8B"/>
    <w:rsid w:val="001C20BD"/>
    <w:rsid w:val="001C36E3"/>
    <w:rsid w:val="001C638D"/>
    <w:rsid w:val="001C65CD"/>
    <w:rsid w:val="001C7355"/>
    <w:rsid w:val="001C7376"/>
    <w:rsid w:val="001D366C"/>
    <w:rsid w:val="001D3907"/>
    <w:rsid w:val="001E04EE"/>
    <w:rsid w:val="001E074D"/>
    <w:rsid w:val="001E33FA"/>
    <w:rsid w:val="001E367D"/>
    <w:rsid w:val="001E60FD"/>
    <w:rsid w:val="001E64E3"/>
    <w:rsid w:val="001E7260"/>
    <w:rsid w:val="001E79DA"/>
    <w:rsid w:val="001F1AA1"/>
    <w:rsid w:val="001F5747"/>
    <w:rsid w:val="001F5942"/>
    <w:rsid w:val="001F59C9"/>
    <w:rsid w:val="001F7C73"/>
    <w:rsid w:val="0020076E"/>
    <w:rsid w:val="00202F58"/>
    <w:rsid w:val="00204860"/>
    <w:rsid w:val="00206708"/>
    <w:rsid w:val="00206A9D"/>
    <w:rsid w:val="002076A3"/>
    <w:rsid w:val="00207BD7"/>
    <w:rsid w:val="0021346F"/>
    <w:rsid w:val="002140B9"/>
    <w:rsid w:val="00216691"/>
    <w:rsid w:val="00216DA1"/>
    <w:rsid w:val="00220B0B"/>
    <w:rsid w:val="00221A0A"/>
    <w:rsid w:val="0022204C"/>
    <w:rsid w:val="00222164"/>
    <w:rsid w:val="00223558"/>
    <w:rsid w:val="002253BC"/>
    <w:rsid w:val="0022577A"/>
    <w:rsid w:val="002278B9"/>
    <w:rsid w:val="00227C34"/>
    <w:rsid w:val="002324B7"/>
    <w:rsid w:val="00232D04"/>
    <w:rsid w:val="0023540D"/>
    <w:rsid w:val="00235804"/>
    <w:rsid w:val="00236DE6"/>
    <w:rsid w:val="002419B3"/>
    <w:rsid w:val="00241AC1"/>
    <w:rsid w:val="00243A13"/>
    <w:rsid w:val="00246605"/>
    <w:rsid w:val="002475D0"/>
    <w:rsid w:val="00250FC4"/>
    <w:rsid w:val="00255DFE"/>
    <w:rsid w:val="002564B7"/>
    <w:rsid w:val="00256C35"/>
    <w:rsid w:val="00260FF9"/>
    <w:rsid w:val="00261BEA"/>
    <w:rsid w:val="00263795"/>
    <w:rsid w:val="0026387E"/>
    <w:rsid w:val="00266B4F"/>
    <w:rsid w:val="00267F72"/>
    <w:rsid w:val="00270E97"/>
    <w:rsid w:val="00272C53"/>
    <w:rsid w:val="00274E48"/>
    <w:rsid w:val="00276986"/>
    <w:rsid w:val="002774AC"/>
    <w:rsid w:val="00280BCC"/>
    <w:rsid w:val="00281FDA"/>
    <w:rsid w:val="00282ECD"/>
    <w:rsid w:val="002838B7"/>
    <w:rsid w:val="002845E0"/>
    <w:rsid w:val="002857AB"/>
    <w:rsid w:val="0028646B"/>
    <w:rsid w:val="00287147"/>
    <w:rsid w:val="00291985"/>
    <w:rsid w:val="002925F7"/>
    <w:rsid w:val="00294EFE"/>
    <w:rsid w:val="00295476"/>
    <w:rsid w:val="0029699A"/>
    <w:rsid w:val="00297F94"/>
    <w:rsid w:val="002A0188"/>
    <w:rsid w:val="002A17AB"/>
    <w:rsid w:val="002A18EA"/>
    <w:rsid w:val="002A24C3"/>
    <w:rsid w:val="002A2F02"/>
    <w:rsid w:val="002B05BD"/>
    <w:rsid w:val="002B0A59"/>
    <w:rsid w:val="002B1598"/>
    <w:rsid w:val="002B24B8"/>
    <w:rsid w:val="002B335E"/>
    <w:rsid w:val="002B4948"/>
    <w:rsid w:val="002B5914"/>
    <w:rsid w:val="002B596C"/>
    <w:rsid w:val="002C0E7E"/>
    <w:rsid w:val="002C163C"/>
    <w:rsid w:val="002C30EC"/>
    <w:rsid w:val="002C37B0"/>
    <w:rsid w:val="002C37E4"/>
    <w:rsid w:val="002C4641"/>
    <w:rsid w:val="002C571F"/>
    <w:rsid w:val="002C59F6"/>
    <w:rsid w:val="002C5D04"/>
    <w:rsid w:val="002C62CA"/>
    <w:rsid w:val="002C7784"/>
    <w:rsid w:val="002D42DA"/>
    <w:rsid w:val="002D46A0"/>
    <w:rsid w:val="002D4C2B"/>
    <w:rsid w:val="002D5323"/>
    <w:rsid w:val="002D63C9"/>
    <w:rsid w:val="002E0DC4"/>
    <w:rsid w:val="002E1649"/>
    <w:rsid w:val="002E1AB8"/>
    <w:rsid w:val="002E1E0B"/>
    <w:rsid w:val="002E4F48"/>
    <w:rsid w:val="002E6B36"/>
    <w:rsid w:val="002E7DD9"/>
    <w:rsid w:val="002F4B36"/>
    <w:rsid w:val="002F50B9"/>
    <w:rsid w:val="002F6D7C"/>
    <w:rsid w:val="002F73D3"/>
    <w:rsid w:val="0030067A"/>
    <w:rsid w:val="00302208"/>
    <w:rsid w:val="00302B1D"/>
    <w:rsid w:val="00302C2F"/>
    <w:rsid w:val="00306540"/>
    <w:rsid w:val="00306BF1"/>
    <w:rsid w:val="00306EDA"/>
    <w:rsid w:val="00307BD6"/>
    <w:rsid w:val="00307C6B"/>
    <w:rsid w:val="00310308"/>
    <w:rsid w:val="0031060E"/>
    <w:rsid w:val="00315793"/>
    <w:rsid w:val="00317B4D"/>
    <w:rsid w:val="00317E43"/>
    <w:rsid w:val="00320967"/>
    <w:rsid w:val="00321295"/>
    <w:rsid w:val="00322244"/>
    <w:rsid w:val="00322DA4"/>
    <w:rsid w:val="00322E7E"/>
    <w:rsid w:val="00326A43"/>
    <w:rsid w:val="003277DA"/>
    <w:rsid w:val="003304C0"/>
    <w:rsid w:val="00330576"/>
    <w:rsid w:val="00331B40"/>
    <w:rsid w:val="00331BAF"/>
    <w:rsid w:val="003325E1"/>
    <w:rsid w:val="00333A3D"/>
    <w:rsid w:val="00334D05"/>
    <w:rsid w:val="00335464"/>
    <w:rsid w:val="003359B6"/>
    <w:rsid w:val="00336203"/>
    <w:rsid w:val="00340172"/>
    <w:rsid w:val="00344A24"/>
    <w:rsid w:val="003546D6"/>
    <w:rsid w:val="00354712"/>
    <w:rsid w:val="00357238"/>
    <w:rsid w:val="00357389"/>
    <w:rsid w:val="0035739D"/>
    <w:rsid w:val="003608C1"/>
    <w:rsid w:val="00361D84"/>
    <w:rsid w:val="003660D0"/>
    <w:rsid w:val="003675E8"/>
    <w:rsid w:val="00367BD3"/>
    <w:rsid w:val="0037036A"/>
    <w:rsid w:val="00373836"/>
    <w:rsid w:val="00373DEC"/>
    <w:rsid w:val="00375BC4"/>
    <w:rsid w:val="00376F35"/>
    <w:rsid w:val="003804E2"/>
    <w:rsid w:val="00381B76"/>
    <w:rsid w:val="00382403"/>
    <w:rsid w:val="0038312C"/>
    <w:rsid w:val="00385821"/>
    <w:rsid w:val="00385B62"/>
    <w:rsid w:val="00387D8D"/>
    <w:rsid w:val="00390D9A"/>
    <w:rsid w:val="00391507"/>
    <w:rsid w:val="00393BAC"/>
    <w:rsid w:val="0039564B"/>
    <w:rsid w:val="00396235"/>
    <w:rsid w:val="003963B1"/>
    <w:rsid w:val="00396EB9"/>
    <w:rsid w:val="003A102D"/>
    <w:rsid w:val="003A18AF"/>
    <w:rsid w:val="003A1922"/>
    <w:rsid w:val="003A5E22"/>
    <w:rsid w:val="003B03FD"/>
    <w:rsid w:val="003B2530"/>
    <w:rsid w:val="003B36E9"/>
    <w:rsid w:val="003B539F"/>
    <w:rsid w:val="003B59B3"/>
    <w:rsid w:val="003B5C43"/>
    <w:rsid w:val="003B6570"/>
    <w:rsid w:val="003B726D"/>
    <w:rsid w:val="003B7635"/>
    <w:rsid w:val="003C014F"/>
    <w:rsid w:val="003C2775"/>
    <w:rsid w:val="003C31C1"/>
    <w:rsid w:val="003C34FC"/>
    <w:rsid w:val="003C4BAA"/>
    <w:rsid w:val="003C6050"/>
    <w:rsid w:val="003D20E7"/>
    <w:rsid w:val="003D3A29"/>
    <w:rsid w:val="003D4B2F"/>
    <w:rsid w:val="003E06E2"/>
    <w:rsid w:val="003E2AB6"/>
    <w:rsid w:val="003E35B2"/>
    <w:rsid w:val="003E40AC"/>
    <w:rsid w:val="003E4324"/>
    <w:rsid w:val="003E66EF"/>
    <w:rsid w:val="003E69EF"/>
    <w:rsid w:val="003E7E83"/>
    <w:rsid w:val="003F5027"/>
    <w:rsid w:val="003F5752"/>
    <w:rsid w:val="003F63AB"/>
    <w:rsid w:val="003F66A7"/>
    <w:rsid w:val="003F6D4D"/>
    <w:rsid w:val="003F7091"/>
    <w:rsid w:val="004027A3"/>
    <w:rsid w:val="00402FCE"/>
    <w:rsid w:val="00403B02"/>
    <w:rsid w:val="004061A5"/>
    <w:rsid w:val="00410DD8"/>
    <w:rsid w:val="00411516"/>
    <w:rsid w:val="00412790"/>
    <w:rsid w:val="00413377"/>
    <w:rsid w:val="0041343D"/>
    <w:rsid w:val="004151C5"/>
    <w:rsid w:val="00415B04"/>
    <w:rsid w:val="00416127"/>
    <w:rsid w:val="0041641C"/>
    <w:rsid w:val="004164F0"/>
    <w:rsid w:val="00417089"/>
    <w:rsid w:val="00420574"/>
    <w:rsid w:val="00421D10"/>
    <w:rsid w:val="00423507"/>
    <w:rsid w:val="00427233"/>
    <w:rsid w:val="00430000"/>
    <w:rsid w:val="00431A2D"/>
    <w:rsid w:val="00431D31"/>
    <w:rsid w:val="00433FAD"/>
    <w:rsid w:val="00434129"/>
    <w:rsid w:val="004370B8"/>
    <w:rsid w:val="00437527"/>
    <w:rsid w:val="004434CF"/>
    <w:rsid w:val="004445B9"/>
    <w:rsid w:val="00447420"/>
    <w:rsid w:val="00451599"/>
    <w:rsid w:val="004532AC"/>
    <w:rsid w:val="00455FED"/>
    <w:rsid w:val="004616B1"/>
    <w:rsid w:val="004632D9"/>
    <w:rsid w:val="00463709"/>
    <w:rsid w:val="0046394C"/>
    <w:rsid w:val="004649D0"/>
    <w:rsid w:val="004707AD"/>
    <w:rsid w:val="0047197A"/>
    <w:rsid w:val="00472D7F"/>
    <w:rsid w:val="004740D3"/>
    <w:rsid w:val="0047448C"/>
    <w:rsid w:val="00474D44"/>
    <w:rsid w:val="0048018C"/>
    <w:rsid w:val="0048070F"/>
    <w:rsid w:val="00480D4F"/>
    <w:rsid w:val="00483A38"/>
    <w:rsid w:val="00484809"/>
    <w:rsid w:val="00484C34"/>
    <w:rsid w:val="00485500"/>
    <w:rsid w:val="00485581"/>
    <w:rsid w:val="004910CE"/>
    <w:rsid w:val="00492095"/>
    <w:rsid w:val="00495313"/>
    <w:rsid w:val="004966C8"/>
    <w:rsid w:val="004A107F"/>
    <w:rsid w:val="004A1F95"/>
    <w:rsid w:val="004A2749"/>
    <w:rsid w:val="004A6096"/>
    <w:rsid w:val="004A616C"/>
    <w:rsid w:val="004B0596"/>
    <w:rsid w:val="004B14B7"/>
    <w:rsid w:val="004B3126"/>
    <w:rsid w:val="004B387D"/>
    <w:rsid w:val="004B38EF"/>
    <w:rsid w:val="004C2CEF"/>
    <w:rsid w:val="004C3BDE"/>
    <w:rsid w:val="004C57C2"/>
    <w:rsid w:val="004C5AA4"/>
    <w:rsid w:val="004C688B"/>
    <w:rsid w:val="004C692F"/>
    <w:rsid w:val="004D114B"/>
    <w:rsid w:val="004D3369"/>
    <w:rsid w:val="004D5DB1"/>
    <w:rsid w:val="004D668D"/>
    <w:rsid w:val="004D71A1"/>
    <w:rsid w:val="004D79B0"/>
    <w:rsid w:val="004E15AC"/>
    <w:rsid w:val="004E51F2"/>
    <w:rsid w:val="004E5F59"/>
    <w:rsid w:val="004E64A3"/>
    <w:rsid w:val="004E758D"/>
    <w:rsid w:val="004F3548"/>
    <w:rsid w:val="004F503D"/>
    <w:rsid w:val="004F52B6"/>
    <w:rsid w:val="004F5ACE"/>
    <w:rsid w:val="004F6016"/>
    <w:rsid w:val="004F747F"/>
    <w:rsid w:val="00500957"/>
    <w:rsid w:val="005033F3"/>
    <w:rsid w:val="0050368C"/>
    <w:rsid w:val="005069D2"/>
    <w:rsid w:val="005112C1"/>
    <w:rsid w:val="0051153C"/>
    <w:rsid w:val="0051314A"/>
    <w:rsid w:val="00514CC2"/>
    <w:rsid w:val="00517D56"/>
    <w:rsid w:val="00520769"/>
    <w:rsid w:val="00521B9D"/>
    <w:rsid w:val="0052370A"/>
    <w:rsid w:val="00524EF4"/>
    <w:rsid w:val="00525DBA"/>
    <w:rsid w:val="00526DA9"/>
    <w:rsid w:val="00527C0F"/>
    <w:rsid w:val="00534923"/>
    <w:rsid w:val="0054048B"/>
    <w:rsid w:val="00540FE0"/>
    <w:rsid w:val="00541300"/>
    <w:rsid w:val="0054352B"/>
    <w:rsid w:val="00544B88"/>
    <w:rsid w:val="00550C76"/>
    <w:rsid w:val="005524A2"/>
    <w:rsid w:val="005552B6"/>
    <w:rsid w:val="00555C8D"/>
    <w:rsid w:val="005563C2"/>
    <w:rsid w:val="00557E6E"/>
    <w:rsid w:val="00560A61"/>
    <w:rsid w:val="00560E3E"/>
    <w:rsid w:val="00561613"/>
    <w:rsid w:val="00561AD2"/>
    <w:rsid w:val="00562AAD"/>
    <w:rsid w:val="00562D15"/>
    <w:rsid w:val="00564577"/>
    <w:rsid w:val="005648E9"/>
    <w:rsid w:val="005670E9"/>
    <w:rsid w:val="00567B4C"/>
    <w:rsid w:val="00572F0C"/>
    <w:rsid w:val="005743CD"/>
    <w:rsid w:val="005746EB"/>
    <w:rsid w:val="00574778"/>
    <w:rsid w:val="00575ACB"/>
    <w:rsid w:val="005767CF"/>
    <w:rsid w:val="00576A65"/>
    <w:rsid w:val="0057753D"/>
    <w:rsid w:val="00577612"/>
    <w:rsid w:val="0058016A"/>
    <w:rsid w:val="00582CB3"/>
    <w:rsid w:val="00583E47"/>
    <w:rsid w:val="00584A8E"/>
    <w:rsid w:val="005861B9"/>
    <w:rsid w:val="0059074D"/>
    <w:rsid w:val="0059086E"/>
    <w:rsid w:val="00591F28"/>
    <w:rsid w:val="00593BB5"/>
    <w:rsid w:val="0059420D"/>
    <w:rsid w:val="005A077A"/>
    <w:rsid w:val="005A264D"/>
    <w:rsid w:val="005A3BE0"/>
    <w:rsid w:val="005A4C48"/>
    <w:rsid w:val="005B18B3"/>
    <w:rsid w:val="005B28C0"/>
    <w:rsid w:val="005B4120"/>
    <w:rsid w:val="005B513E"/>
    <w:rsid w:val="005B5FDB"/>
    <w:rsid w:val="005B7DC0"/>
    <w:rsid w:val="005C0C6E"/>
    <w:rsid w:val="005C3B30"/>
    <w:rsid w:val="005C3F63"/>
    <w:rsid w:val="005C6CCD"/>
    <w:rsid w:val="005C7E62"/>
    <w:rsid w:val="005D0837"/>
    <w:rsid w:val="005D2A86"/>
    <w:rsid w:val="005D3F59"/>
    <w:rsid w:val="005D6090"/>
    <w:rsid w:val="005E5285"/>
    <w:rsid w:val="005E7050"/>
    <w:rsid w:val="005E7A0D"/>
    <w:rsid w:val="005F04F4"/>
    <w:rsid w:val="005F18A3"/>
    <w:rsid w:val="005F1C28"/>
    <w:rsid w:val="005F2619"/>
    <w:rsid w:val="005F34FE"/>
    <w:rsid w:val="005F442E"/>
    <w:rsid w:val="005F48EC"/>
    <w:rsid w:val="005F4E9F"/>
    <w:rsid w:val="005F55F3"/>
    <w:rsid w:val="005F7055"/>
    <w:rsid w:val="005F79C3"/>
    <w:rsid w:val="0060005B"/>
    <w:rsid w:val="00603C84"/>
    <w:rsid w:val="00604400"/>
    <w:rsid w:val="00604F12"/>
    <w:rsid w:val="00605B3D"/>
    <w:rsid w:val="00611B1C"/>
    <w:rsid w:val="00611B6C"/>
    <w:rsid w:val="00611D25"/>
    <w:rsid w:val="00611F4D"/>
    <w:rsid w:val="006125E8"/>
    <w:rsid w:val="0061388F"/>
    <w:rsid w:val="0061448C"/>
    <w:rsid w:val="00614722"/>
    <w:rsid w:val="00615ACF"/>
    <w:rsid w:val="00616B8B"/>
    <w:rsid w:val="00616FC5"/>
    <w:rsid w:val="00617952"/>
    <w:rsid w:val="00617A0C"/>
    <w:rsid w:val="00622184"/>
    <w:rsid w:val="006237B7"/>
    <w:rsid w:val="00623896"/>
    <w:rsid w:val="0062557F"/>
    <w:rsid w:val="006258DB"/>
    <w:rsid w:val="00625EF9"/>
    <w:rsid w:val="006275B0"/>
    <w:rsid w:val="00631F5E"/>
    <w:rsid w:val="00632283"/>
    <w:rsid w:val="00640984"/>
    <w:rsid w:val="00641B47"/>
    <w:rsid w:val="006445D7"/>
    <w:rsid w:val="006461C1"/>
    <w:rsid w:val="0065426D"/>
    <w:rsid w:val="006553CF"/>
    <w:rsid w:val="0065698A"/>
    <w:rsid w:val="00660356"/>
    <w:rsid w:val="00661176"/>
    <w:rsid w:val="0066158D"/>
    <w:rsid w:val="00665823"/>
    <w:rsid w:val="006671D1"/>
    <w:rsid w:val="00670842"/>
    <w:rsid w:val="00671473"/>
    <w:rsid w:val="00673692"/>
    <w:rsid w:val="00676A05"/>
    <w:rsid w:val="0067770F"/>
    <w:rsid w:val="00677ABE"/>
    <w:rsid w:val="00681209"/>
    <w:rsid w:val="006819D1"/>
    <w:rsid w:val="00683269"/>
    <w:rsid w:val="00683C08"/>
    <w:rsid w:val="00684986"/>
    <w:rsid w:val="006856C9"/>
    <w:rsid w:val="00690455"/>
    <w:rsid w:val="00690612"/>
    <w:rsid w:val="00690E05"/>
    <w:rsid w:val="006916EB"/>
    <w:rsid w:val="006952CD"/>
    <w:rsid w:val="006962EE"/>
    <w:rsid w:val="006972FF"/>
    <w:rsid w:val="00697C48"/>
    <w:rsid w:val="006A3A1A"/>
    <w:rsid w:val="006A52CB"/>
    <w:rsid w:val="006A5304"/>
    <w:rsid w:val="006A6CC2"/>
    <w:rsid w:val="006A7114"/>
    <w:rsid w:val="006A7DAF"/>
    <w:rsid w:val="006B0F4A"/>
    <w:rsid w:val="006B112E"/>
    <w:rsid w:val="006B1BF3"/>
    <w:rsid w:val="006B331A"/>
    <w:rsid w:val="006B36A5"/>
    <w:rsid w:val="006B4BB2"/>
    <w:rsid w:val="006B4CCD"/>
    <w:rsid w:val="006B4CE6"/>
    <w:rsid w:val="006B5E45"/>
    <w:rsid w:val="006C19F3"/>
    <w:rsid w:val="006C1B5A"/>
    <w:rsid w:val="006C2A32"/>
    <w:rsid w:val="006C3BA8"/>
    <w:rsid w:val="006C418B"/>
    <w:rsid w:val="006C43F5"/>
    <w:rsid w:val="006C4BD2"/>
    <w:rsid w:val="006C7AEA"/>
    <w:rsid w:val="006D102D"/>
    <w:rsid w:val="006D1038"/>
    <w:rsid w:val="006D363A"/>
    <w:rsid w:val="006D408F"/>
    <w:rsid w:val="006D416B"/>
    <w:rsid w:val="006D6470"/>
    <w:rsid w:val="006D7133"/>
    <w:rsid w:val="006E086F"/>
    <w:rsid w:val="006E371B"/>
    <w:rsid w:val="006F0E72"/>
    <w:rsid w:val="006F1A60"/>
    <w:rsid w:val="006F2048"/>
    <w:rsid w:val="006F5A8E"/>
    <w:rsid w:val="006F76A2"/>
    <w:rsid w:val="006F7EE4"/>
    <w:rsid w:val="0070014C"/>
    <w:rsid w:val="00700876"/>
    <w:rsid w:val="00701C92"/>
    <w:rsid w:val="007026D1"/>
    <w:rsid w:val="00703CF5"/>
    <w:rsid w:val="0070718F"/>
    <w:rsid w:val="007073F1"/>
    <w:rsid w:val="00707884"/>
    <w:rsid w:val="007106DF"/>
    <w:rsid w:val="0071158A"/>
    <w:rsid w:val="007129D0"/>
    <w:rsid w:val="00713741"/>
    <w:rsid w:val="00713B48"/>
    <w:rsid w:val="00715E44"/>
    <w:rsid w:val="0071798E"/>
    <w:rsid w:val="00721520"/>
    <w:rsid w:val="00723581"/>
    <w:rsid w:val="00725272"/>
    <w:rsid w:val="00726ECF"/>
    <w:rsid w:val="007321C1"/>
    <w:rsid w:val="007335EE"/>
    <w:rsid w:val="00734315"/>
    <w:rsid w:val="00734A1F"/>
    <w:rsid w:val="00736C10"/>
    <w:rsid w:val="0073710D"/>
    <w:rsid w:val="00737DB7"/>
    <w:rsid w:val="00737E36"/>
    <w:rsid w:val="007429C8"/>
    <w:rsid w:val="00744A6F"/>
    <w:rsid w:val="0075182A"/>
    <w:rsid w:val="00751AF7"/>
    <w:rsid w:val="007536E7"/>
    <w:rsid w:val="00753AE6"/>
    <w:rsid w:val="007555CE"/>
    <w:rsid w:val="0075680F"/>
    <w:rsid w:val="00762B3A"/>
    <w:rsid w:val="00767C6F"/>
    <w:rsid w:val="00770D61"/>
    <w:rsid w:val="00773906"/>
    <w:rsid w:val="00773C5B"/>
    <w:rsid w:val="0077401B"/>
    <w:rsid w:val="0077646F"/>
    <w:rsid w:val="00777CFE"/>
    <w:rsid w:val="00783110"/>
    <w:rsid w:val="007836BD"/>
    <w:rsid w:val="007934CF"/>
    <w:rsid w:val="007940E9"/>
    <w:rsid w:val="0079439D"/>
    <w:rsid w:val="00794787"/>
    <w:rsid w:val="00794DE9"/>
    <w:rsid w:val="0079589D"/>
    <w:rsid w:val="00796846"/>
    <w:rsid w:val="00797558"/>
    <w:rsid w:val="0079774E"/>
    <w:rsid w:val="0079779E"/>
    <w:rsid w:val="00797AE4"/>
    <w:rsid w:val="00797B2D"/>
    <w:rsid w:val="007A11A1"/>
    <w:rsid w:val="007A154E"/>
    <w:rsid w:val="007A2503"/>
    <w:rsid w:val="007A32F8"/>
    <w:rsid w:val="007A343C"/>
    <w:rsid w:val="007A36C8"/>
    <w:rsid w:val="007A3CFF"/>
    <w:rsid w:val="007A4587"/>
    <w:rsid w:val="007A6382"/>
    <w:rsid w:val="007A6E96"/>
    <w:rsid w:val="007A75D7"/>
    <w:rsid w:val="007B14DA"/>
    <w:rsid w:val="007B1FAE"/>
    <w:rsid w:val="007B218C"/>
    <w:rsid w:val="007B4D14"/>
    <w:rsid w:val="007B544C"/>
    <w:rsid w:val="007B71A3"/>
    <w:rsid w:val="007C1771"/>
    <w:rsid w:val="007C22B7"/>
    <w:rsid w:val="007C299B"/>
    <w:rsid w:val="007C3495"/>
    <w:rsid w:val="007C3AFB"/>
    <w:rsid w:val="007C54B2"/>
    <w:rsid w:val="007C646A"/>
    <w:rsid w:val="007D1837"/>
    <w:rsid w:val="007D1EB4"/>
    <w:rsid w:val="007D327D"/>
    <w:rsid w:val="007D3326"/>
    <w:rsid w:val="007D38A0"/>
    <w:rsid w:val="007D5B2F"/>
    <w:rsid w:val="007D72CD"/>
    <w:rsid w:val="007E0512"/>
    <w:rsid w:val="007E079B"/>
    <w:rsid w:val="007E27D6"/>
    <w:rsid w:val="007E2C70"/>
    <w:rsid w:val="007E70E1"/>
    <w:rsid w:val="007E798D"/>
    <w:rsid w:val="007F204A"/>
    <w:rsid w:val="007F27A7"/>
    <w:rsid w:val="007F27C7"/>
    <w:rsid w:val="007F30FF"/>
    <w:rsid w:val="007F3265"/>
    <w:rsid w:val="007F462E"/>
    <w:rsid w:val="007F4F84"/>
    <w:rsid w:val="007F752B"/>
    <w:rsid w:val="00800517"/>
    <w:rsid w:val="00803EAA"/>
    <w:rsid w:val="00803FF2"/>
    <w:rsid w:val="00805190"/>
    <w:rsid w:val="008065DD"/>
    <w:rsid w:val="008120D7"/>
    <w:rsid w:val="00814BB8"/>
    <w:rsid w:val="008159F5"/>
    <w:rsid w:val="00817EF9"/>
    <w:rsid w:val="00820BA7"/>
    <w:rsid w:val="00820E35"/>
    <w:rsid w:val="00821DE5"/>
    <w:rsid w:val="008221AA"/>
    <w:rsid w:val="00824740"/>
    <w:rsid w:val="00825595"/>
    <w:rsid w:val="00827216"/>
    <w:rsid w:val="008278C0"/>
    <w:rsid w:val="00831039"/>
    <w:rsid w:val="0083175D"/>
    <w:rsid w:val="00833035"/>
    <w:rsid w:val="00833EBE"/>
    <w:rsid w:val="0083578F"/>
    <w:rsid w:val="00840DFB"/>
    <w:rsid w:val="00841943"/>
    <w:rsid w:val="008423D6"/>
    <w:rsid w:val="008425A4"/>
    <w:rsid w:val="008425F9"/>
    <w:rsid w:val="008431A1"/>
    <w:rsid w:val="0084334E"/>
    <w:rsid w:val="00843964"/>
    <w:rsid w:val="00844306"/>
    <w:rsid w:val="00844879"/>
    <w:rsid w:val="008458EF"/>
    <w:rsid w:val="00847D9A"/>
    <w:rsid w:val="00851B28"/>
    <w:rsid w:val="00852060"/>
    <w:rsid w:val="0085477F"/>
    <w:rsid w:val="00855374"/>
    <w:rsid w:val="00855495"/>
    <w:rsid w:val="008568C9"/>
    <w:rsid w:val="008574CC"/>
    <w:rsid w:val="008576A0"/>
    <w:rsid w:val="00857F85"/>
    <w:rsid w:val="00865438"/>
    <w:rsid w:val="008655D8"/>
    <w:rsid w:val="008661BF"/>
    <w:rsid w:val="0087285F"/>
    <w:rsid w:val="00876408"/>
    <w:rsid w:val="00877531"/>
    <w:rsid w:val="008776A0"/>
    <w:rsid w:val="0087774E"/>
    <w:rsid w:val="00877FA6"/>
    <w:rsid w:val="00880067"/>
    <w:rsid w:val="008813CB"/>
    <w:rsid w:val="00881BB3"/>
    <w:rsid w:val="00882352"/>
    <w:rsid w:val="008841F0"/>
    <w:rsid w:val="00886918"/>
    <w:rsid w:val="00887581"/>
    <w:rsid w:val="008910E8"/>
    <w:rsid w:val="00891496"/>
    <w:rsid w:val="008921F3"/>
    <w:rsid w:val="00894276"/>
    <w:rsid w:val="008949E5"/>
    <w:rsid w:val="008972A1"/>
    <w:rsid w:val="008A2AA1"/>
    <w:rsid w:val="008A3DF8"/>
    <w:rsid w:val="008A6841"/>
    <w:rsid w:val="008A6E5C"/>
    <w:rsid w:val="008A7043"/>
    <w:rsid w:val="008A71C8"/>
    <w:rsid w:val="008B06B9"/>
    <w:rsid w:val="008B1600"/>
    <w:rsid w:val="008B18F1"/>
    <w:rsid w:val="008B25F1"/>
    <w:rsid w:val="008B3E83"/>
    <w:rsid w:val="008B4195"/>
    <w:rsid w:val="008B4FEA"/>
    <w:rsid w:val="008B65CC"/>
    <w:rsid w:val="008B65EC"/>
    <w:rsid w:val="008C085C"/>
    <w:rsid w:val="008C270C"/>
    <w:rsid w:val="008C5DB5"/>
    <w:rsid w:val="008D11BB"/>
    <w:rsid w:val="008D3602"/>
    <w:rsid w:val="008D5295"/>
    <w:rsid w:val="008D5AE6"/>
    <w:rsid w:val="008E1947"/>
    <w:rsid w:val="008E19A6"/>
    <w:rsid w:val="008E23D4"/>
    <w:rsid w:val="008E38DC"/>
    <w:rsid w:val="008E3FB9"/>
    <w:rsid w:val="008E41B2"/>
    <w:rsid w:val="008E4370"/>
    <w:rsid w:val="008E6785"/>
    <w:rsid w:val="008E6C45"/>
    <w:rsid w:val="008E7ABF"/>
    <w:rsid w:val="008F054F"/>
    <w:rsid w:val="008F0A1E"/>
    <w:rsid w:val="008F1D52"/>
    <w:rsid w:val="008F51C0"/>
    <w:rsid w:val="008F524B"/>
    <w:rsid w:val="008F588E"/>
    <w:rsid w:val="008F59D9"/>
    <w:rsid w:val="008F610D"/>
    <w:rsid w:val="008F772E"/>
    <w:rsid w:val="008F7EFE"/>
    <w:rsid w:val="008F7FCF"/>
    <w:rsid w:val="009009D0"/>
    <w:rsid w:val="00900EB6"/>
    <w:rsid w:val="00902815"/>
    <w:rsid w:val="0090507E"/>
    <w:rsid w:val="009054F7"/>
    <w:rsid w:val="00905C34"/>
    <w:rsid w:val="00905CE5"/>
    <w:rsid w:val="00905E73"/>
    <w:rsid w:val="00915118"/>
    <w:rsid w:val="00915AAF"/>
    <w:rsid w:val="0091681C"/>
    <w:rsid w:val="009207A3"/>
    <w:rsid w:val="00920D70"/>
    <w:rsid w:val="00921B06"/>
    <w:rsid w:val="009220CA"/>
    <w:rsid w:val="0092377D"/>
    <w:rsid w:val="00923D78"/>
    <w:rsid w:val="00924017"/>
    <w:rsid w:val="00925077"/>
    <w:rsid w:val="009258BF"/>
    <w:rsid w:val="0093071F"/>
    <w:rsid w:val="00932E95"/>
    <w:rsid w:val="009336E8"/>
    <w:rsid w:val="00935823"/>
    <w:rsid w:val="00937C13"/>
    <w:rsid w:val="00942D16"/>
    <w:rsid w:val="00945B58"/>
    <w:rsid w:val="00952A6B"/>
    <w:rsid w:val="00954618"/>
    <w:rsid w:val="00955AB3"/>
    <w:rsid w:val="00955F01"/>
    <w:rsid w:val="00957408"/>
    <w:rsid w:val="009608C0"/>
    <w:rsid w:val="00963D59"/>
    <w:rsid w:val="00964616"/>
    <w:rsid w:val="00964FD6"/>
    <w:rsid w:val="00966148"/>
    <w:rsid w:val="00967F06"/>
    <w:rsid w:val="00971D3A"/>
    <w:rsid w:val="009726E9"/>
    <w:rsid w:val="009728F3"/>
    <w:rsid w:val="009743C7"/>
    <w:rsid w:val="0097494A"/>
    <w:rsid w:val="00976AEA"/>
    <w:rsid w:val="00976D0F"/>
    <w:rsid w:val="0097773B"/>
    <w:rsid w:val="00980BEA"/>
    <w:rsid w:val="00981177"/>
    <w:rsid w:val="00981698"/>
    <w:rsid w:val="00983DFB"/>
    <w:rsid w:val="0098556C"/>
    <w:rsid w:val="009921A4"/>
    <w:rsid w:val="0099259F"/>
    <w:rsid w:val="00993938"/>
    <w:rsid w:val="00995A86"/>
    <w:rsid w:val="00995B9C"/>
    <w:rsid w:val="009978A6"/>
    <w:rsid w:val="009A2C52"/>
    <w:rsid w:val="009A2EAB"/>
    <w:rsid w:val="009A3B81"/>
    <w:rsid w:val="009A4582"/>
    <w:rsid w:val="009A50E7"/>
    <w:rsid w:val="009A6DF1"/>
    <w:rsid w:val="009A763D"/>
    <w:rsid w:val="009A7910"/>
    <w:rsid w:val="009B4BA3"/>
    <w:rsid w:val="009B5A37"/>
    <w:rsid w:val="009B705D"/>
    <w:rsid w:val="009B7B95"/>
    <w:rsid w:val="009C0618"/>
    <w:rsid w:val="009C1D15"/>
    <w:rsid w:val="009C21D3"/>
    <w:rsid w:val="009C250F"/>
    <w:rsid w:val="009C25D3"/>
    <w:rsid w:val="009C3229"/>
    <w:rsid w:val="009C395E"/>
    <w:rsid w:val="009C4592"/>
    <w:rsid w:val="009C4892"/>
    <w:rsid w:val="009C56F3"/>
    <w:rsid w:val="009D102C"/>
    <w:rsid w:val="009D276E"/>
    <w:rsid w:val="009D33EC"/>
    <w:rsid w:val="009D3EF4"/>
    <w:rsid w:val="009D5A46"/>
    <w:rsid w:val="009E0539"/>
    <w:rsid w:val="009E4378"/>
    <w:rsid w:val="009E68EE"/>
    <w:rsid w:val="009E6B31"/>
    <w:rsid w:val="009F0102"/>
    <w:rsid w:val="009F2635"/>
    <w:rsid w:val="009F2EB3"/>
    <w:rsid w:val="009F317F"/>
    <w:rsid w:val="009F3356"/>
    <w:rsid w:val="009F7919"/>
    <w:rsid w:val="00A0018A"/>
    <w:rsid w:val="00A00315"/>
    <w:rsid w:val="00A018D0"/>
    <w:rsid w:val="00A02DEE"/>
    <w:rsid w:val="00A04635"/>
    <w:rsid w:val="00A04EA8"/>
    <w:rsid w:val="00A06555"/>
    <w:rsid w:val="00A07D18"/>
    <w:rsid w:val="00A07F62"/>
    <w:rsid w:val="00A109C7"/>
    <w:rsid w:val="00A11727"/>
    <w:rsid w:val="00A11BA1"/>
    <w:rsid w:val="00A13E99"/>
    <w:rsid w:val="00A15966"/>
    <w:rsid w:val="00A15993"/>
    <w:rsid w:val="00A20B4B"/>
    <w:rsid w:val="00A218FD"/>
    <w:rsid w:val="00A21EF1"/>
    <w:rsid w:val="00A2260C"/>
    <w:rsid w:val="00A23707"/>
    <w:rsid w:val="00A2464F"/>
    <w:rsid w:val="00A35EE8"/>
    <w:rsid w:val="00A40F54"/>
    <w:rsid w:val="00A4120A"/>
    <w:rsid w:val="00A42387"/>
    <w:rsid w:val="00A45B22"/>
    <w:rsid w:val="00A47B10"/>
    <w:rsid w:val="00A47FA4"/>
    <w:rsid w:val="00A51F1F"/>
    <w:rsid w:val="00A52A8E"/>
    <w:rsid w:val="00A544C6"/>
    <w:rsid w:val="00A55FB9"/>
    <w:rsid w:val="00A575BC"/>
    <w:rsid w:val="00A605AD"/>
    <w:rsid w:val="00A610A3"/>
    <w:rsid w:val="00A6285B"/>
    <w:rsid w:val="00A62A9D"/>
    <w:rsid w:val="00A62F71"/>
    <w:rsid w:val="00A63B95"/>
    <w:rsid w:val="00A648B4"/>
    <w:rsid w:val="00A65837"/>
    <w:rsid w:val="00A6598D"/>
    <w:rsid w:val="00A673C7"/>
    <w:rsid w:val="00A67908"/>
    <w:rsid w:val="00A71671"/>
    <w:rsid w:val="00A748B0"/>
    <w:rsid w:val="00A75401"/>
    <w:rsid w:val="00A769C0"/>
    <w:rsid w:val="00A80428"/>
    <w:rsid w:val="00A862E8"/>
    <w:rsid w:val="00A86A92"/>
    <w:rsid w:val="00A87369"/>
    <w:rsid w:val="00A87E83"/>
    <w:rsid w:val="00A91FD1"/>
    <w:rsid w:val="00A92462"/>
    <w:rsid w:val="00A92C21"/>
    <w:rsid w:val="00A93AA6"/>
    <w:rsid w:val="00A93DAA"/>
    <w:rsid w:val="00A968E7"/>
    <w:rsid w:val="00A96A0B"/>
    <w:rsid w:val="00A97405"/>
    <w:rsid w:val="00A97977"/>
    <w:rsid w:val="00A97DBD"/>
    <w:rsid w:val="00AA0D31"/>
    <w:rsid w:val="00AA11DF"/>
    <w:rsid w:val="00AA32BA"/>
    <w:rsid w:val="00AA5529"/>
    <w:rsid w:val="00AA5C08"/>
    <w:rsid w:val="00AB2C74"/>
    <w:rsid w:val="00AB2C77"/>
    <w:rsid w:val="00AB6FD9"/>
    <w:rsid w:val="00AC25D7"/>
    <w:rsid w:val="00AC2C59"/>
    <w:rsid w:val="00AC63D6"/>
    <w:rsid w:val="00AD003B"/>
    <w:rsid w:val="00AD4261"/>
    <w:rsid w:val="00AD579E"/>
    <w:rsid w:val="00AD7A79"/>
    <w:rsid w:val="00AE0569"/>
    <w:rsid w:val="00AE17D1"/>
    <w:rsid w:val="00AE44D2"/>
    <w:rsid w:val="00AE4539"/>
    <w:rsid w:val="00AE46A3"/>
    <w:rsid w:val="00AE6A27"/>
    <w:rsid w:val="00AE6FAC"/>
    <w:rsid w:val="00AE7A78"/>
    <w:rsid w:val="00AF0AAF"/>
    <w:rsid w:val="00AF1D52"/>
    <w:rsid w:val="00AF469E"/>
    <w:rsid w:val="00AF47D6"/>
    <w:rsid w:val="00AF532F"/>
    <w:rsid w:val="00AF7019"/>
    <w:rsid w:val="00B0144C"/>
    <w:rsid w:val="00B0474F"/>
    <w:rsid w:val="00B0595A"/>
    <w:rsid w:val="00B068A1"/>
    <w:rsid w:val="00B06940"/>
    <w:rsid w:val="00B069A3"/>
    <w:rsid w:val="00B10038"/>
    <w:rsid w:val="00B14143"/>
    <w:rsid w:val="00B141B3"/>
    <w:rsid w:val="00B15046"/>
    <w:rsid w:val="00B161F7"/>
    <w:rsid w:val="00B21576"/>
    <w:rsid w:val="00B21662"/>
    <w:rsid w:val="00B2649E"/>
    <w:rsid w:val="00B2666C"/>
    <w:rsid w:val="00B27795"/>
    <w:rsid w:val="00B3175A"/>
    <w:rsid w:val="00B331DF"/>
    <w:rsid w:val="00B33664"/>
    <w:rsid w:val="00B3390B"/>
    <w:rsid w:val="00B345D7"/>
    <w:rsid w:val="00B34800"/>
    <w:rsid w:val="00B3524C"/>
    <w:rsid w:val="00B3584D"/>
    <w:rsid w:val="00B373DE"/>
    <w:rsid w:val="00B37B96"/>
    <w:rsid w:val="00B37FB0"/>
    <w:rsid w:val="00B40D0A"/>
    <w:rsid w:val="00B429F6"/>
    <w:rsid w:val="00B45F56"/>
    <w:rsid w:val="00B50E8E"/>
    <w:rsid w:val="00B60659"/>
    <w:rsid w:val="00B61237"/>
    <w:rsid w:val="00B61C7A"/>
    <w:rsid w:val="00B62626"/>
    <w:rsid w:val="00B6265C"/>
    <w:rsid w:val="00B62FA9"/>
    <w:rsid w:val="00B63E43"/>
    <w:rsid w:val="00B6570F"/>
    <w:rsid w:val="00B66F3A"/>
    <w:rsid w:val="00B75117"/>
    <w:rsid w:val="00B77839"/>
    <w:rsid w:val="00B8004D"/>
    <w:rsid w:val="00B81C3D"/>
    <w:rsid w:val="00B83C2F"/>
    <w:rsid w:val="00B85F7F"/>
    <w:rsid w:val="00B870C0"/>
    <w:rsid w:val="00B87702"/>
    <w:rsid w:val="00B900DB"/>
    <w:rsid w:val="00B907F6"/>
    <w:rsid w:val="00B908A7"/>
    <w:rsid w:val="00B916DB"/>
    <w:rsid w:val="00B91857"/>
    <w:rsid w:val="00B91B53"/>
    <w:rsid w:val="00BA1E84"/>
    <w:rsid w:val="00BA4657"/>
    <w:rsid w:val="00BA618D"/>
    <w:rsid w:val="00BA7C9A"/>
    <w:rsid w:val="00BA7DC4"/>
    <w:rsid w:val="00BB19EE"/>
    <w:rsid w:val="00BB409D"/>
    <w:rsid w:val="00BB48C0"/>
    <w:rsid w:val="00BB55D1"/>
    <w:rsid w:val="00BB59D7"/>
    <w:rsid w:val="00BB5F18"/>
    <w:rsid w:val="00BC0577"/>
    <w:rsid w:val="00BC1E27"/>
    <w:rsid w:val="00BC1F01"/>
    <w:rsid w:val="00BC1F95"/>
    <w:rsid w:val="00BC5C4E"/>
    <w:rsid w:val="00BC6B86"/>
    <w:rsid w:val="00BD3354"/>
    <w:rsid w:val="00BD3B3C"/>
    <w:rsid w:val="00BD3B7F"/>
    <w:rsid w:val="00BD4CDA"/>
    <w:rsid w:val="00BD59F6"/>
    <w:rsid w:val="00BD5C79"/>
    <w:rsid w:val="00BD797D"/>
    <w:rsid w:val="00BE1530"/>
    <w:rsid w:val="00BE1736"/>
    <w:rsid w:val="00BE187F"/>
    <w:rsid w:val="00BE4B06"/>
    <w:rsid w:val="00BE5BF0"/>
    <w:rsid w:val="00BE6114"/>
    <w:rsid w:val="00BF047B"/>
    <w:rsid w:val="00BF1172"/>
    <w:rsid w:val="00BF2465"/>
    <w:rsid w:val="00BF7E9F"/>
    <w:rsid w:val="00C00B66"/>
    <w:rsid w:val="00C021B5"/>
    <w:rsid w:val="00C03974"/>
    <w:rsid w:val="00C04D09"/>
    <w:rsid w:val="00C069E5"/>
    <w:rsid w:val="00C06EA9"/>
    <w:rsid w:val="00C10B63"/>
    <w:rsid w:val="00C11A98"/>
    <w:rsid w:val="00C11AC4"/>
    <w:rsid w:val="00C13ED2"/>
    <w:rsid w:val="00C20EB6"/>
    <w:rsid w:val="00C2111D"/>
    <w:rsid w:val="00C21D9F"/>
    <w:rsid w:val="00C22173"/>
    <w:rsid w:val="00C22F9F"/>
    <w:rsid w:val="00C23A09"/>
    <w:rsid w:val="00C23D73"/>
    <w:rsid w:val="00C24055"/>
    <w:rsid w:val="00C259C0"/>
    <w:rsid w:val="00C25B7D"/>
    <w:rsid w:val="00C31371"/>
    <w:rsid w:val="00C31906"/>
    <w:rsid w:val="00C324EE"/>
    <w:rsid w:val="00C32EC4"/>
    <w:rsid w:val="00C3410D"/>
    <w:rsid w:val="00C34934"/>
    <w:rsid w:val="00C352EE"/>
    <w:rsid w:val="00C355F9"/>
    <w:rsid w:val="00C35C59"/>
    <w:rsid w:val="00C36470"/>
    <w:rsid w:val="00C41730"/>
    <w:rsid w:val="00C42DB5"/>
    <w:rsid w:val="00C443E1"/>
    <w:rsid w:val="00C44B8F"/>
    <w:rsid w:val="00C4517A"/>
    <w:rsid w:val="00C45BD9"/>
    <w:rsid w:val="00C46B68"/>
    <w:rsid w:val="00C47063"/>
    <w:rsid w:val="00C5054C"/>
    <w:rsid w:val="00C55481"/>
    <w:rsid w:val="00C55FA4"/>
    <w:rsid w:val="00C56370"/>
    <w:rsid w:val="00C57F35"/>
    <w:rsid w:val="00C607C2"/>
    <w:rsid w:val="00C62F82"/>
    <w:rsid w:val="00C71733"/>
    <w:rsid w:val="00C733B9"/>
    <w:rsid w:val="00C77561"/>
    <w:rsid w:val="00C77CCE"/>
    <w:rsid w:val="00C80A7D"/>
    <w:rsid w:val="00C8127B"/>
    <w:rsid w:val="00C81A74"/>
    <w:rsid w:val="00C8298B"/>
    <w:rsid w:val="00C84F7C"/>
    <w:rsid w:val="00C852EB"/>
    <w:rsid w:val="00C86D14"/>
    <w:rsid w:val="00C8758E"/>
    <w:rsid w:val="00C906BC"/>
    <w:rsid w:val="00C92584"/>
    <w:rsid w:val="00C92847"/>
    <w:rsid w:val="00C92895"/>
    <w:rsid w:val="00C93FB9"/>
    <w:rsid w:val="00C966E3"/>
    <w:rsid w:val="00C973FC"/>
    <w:rsid w:val="00C9779E"/>
    <w:rsid w:val="00CA0C64"/>
    <w:rsid w:val="00CA3F88"/>
    <w:rsid w:val="00CA406D"/>
    <w:rsid w:val="00CA7303"/>
    <w:rsid w:val="00CB0992"/>
    <w:rsid w:val="00CB330D"/>
    <w:rsid w:val="00CB5C77"/>
    <w:rsid w:val="00CB72BB"/>
    <w:rsid w:val="00CB7CDC"/>
    <w:rsid w:val="00CC046C"/>
    <w:rsid w:val="00CC30BE"/>
    <w:rsid w:val="00CC4DE7"/>
    <w:rsid w:val="00CC7C1C"/>
    <w:rsid w:val="00CD084C"/>
    <w:rsid w:val="00CD2D75"/>
    <w:rsid w:val="00CD35DD"/>
    <w:rsid w:val="00CD383A"/>
    <w:rsid w:val="00CD3943"/>
    <w:rsid w:val="00CD504B"/>
    <w:rsid w:val="00CD67BB"/>
    <w:rsid w:val="00CD734A"/>
    <w:rsid w:val="00CE0B70"/>
    <w:rsid w:val="00CE2DFF"/>
    <w:rsid w:val="00CE3671"/>
    <w:rsid w:val="00CE528C"/>
    <w:rsid w:val="00CE5ACE"/>
    <w:rsid w:val="00CE6DCC"/>
    <w:rsid w:val="00CF06DB"/>
    <w:rsid w:val="00CF137D"/>
    <w:rsid w:val="00CF5730"/>
    <w:rsid w:val="00CF5ECD"/>
    <w:rsid w:val="00CF72E6"/>
    <w:rsid w:val="00D00FB4"/>
    <w:rsid w:val="00D029A7"/>
    <w:rsid w:val="00D03731"/>
    <w:rsid w:val="00D06138"/>
    <w:rsid w:val="00D061B7"/>
    <w:rsid w:val="00D1034F"/>
    <w:rsid w:val="00D10411"/>
    <w:rsid w:val="00D112ED"/>
    <w:rsid w:val="00D119F4"/>
    <w:rsid w:val="00D12303"/>
    <w:rsid w:val="00D12F77"/>
    <w:rsid w:val="00D14EFD"/>
    <w:rsid w:val="00D15ED9"/>
    <w:rsid w:val="00D16CCF"/>
    <w:rsid w:val="00D234E5"/>
    <w:rsid w:val="00D25C87"/>
    <w:rsid w:val="00D2683D"/>
    <w:rsid w:val="00D272F8"/>
    <w:rsid w:val="00D3042B"/>
    <w:rsid w:val="00D30753"/>
    <w:rsid w:val="00D30EEE"/>
    <w:rsid w:val="00D31137"/>
    <w:rsid w:val="00D311B0"/>
    <w:rsid w:val="00D31D56"/>
    <w:rsid w:val="00D32F90"/>
    <w:rsid w:val="00D332FA"/>
    <w:rsid w:val="00D3340A"/>
    <w:rsid w:val="00D35FA8"/>
    <w:rsid w:val="00D402E0"/>
    <w:rsid w:val="00D43305"/>
    <w:rsid w:val="00D43820"/>
    <w:rsid w:val="00D448D0"/>
    <w:rsid w:val="00D459FF"/>
    <w:rsid w:val="00D465CF"/>
    <w:rsid w:val="00D50181"/>
    <w:rsid w:val="00D531BD"/>
    <w:rsid w:val="00D5571C"/>
    <w:rsid w:val="00D5756A"/>
    <w:rsid w:val="00D636C2"/>
    <w:rsid w:val="00D63887"/>
    <w:rsid w:val="00D63EC7"/>
    <w:rsid w:val="00D643D6"/>
    <w:rsid w:val="00D65574"/>
    <w:rsid w:val="00D65CC4"/>
    <w:rsid w:val="00D704F7"/>
    <w:rsid w:val="00D710EA"/>
    <w:rsid w:val="00D71BF9"/>
    <w:rsid w:val="00D73DFF"/>
    <w:rsid w:val="00D7589F"/>
    <w:rsid w:val="00D76916"/>
    <w:rsid w:val="00D7693D"/>
    <w:rsid w:val="00D76CA3"/>
    <w:rsid w:val="00D77196"/>
    <w:rsid w:val="00D77334"/>
    <w:rsid w:val="00D81DC5"/>
    <w:rsid w:val="00D81F39"/>
    <w:rsid w:val="00D820EF"/>
    <w:rsid w:val="00D83C85"/>
    <w:rsid w:val="00D83DF7"/>
    <w:rsid w:val="00D840A9"/>
    <w:rsid w:val="00D8490A"/>
    <w:rsid w:val="00D85FF6"/>
    <w:rsid w:val="00D86437"/>
    <w:rsid w:val="00D90128"/>
    <w:rsid w:val="00D907A6"/>
    <w:rsid w:val="00D909B8"/>
    <w:rsid w:val="00D9227E"/>
    <w:rsid w:val="00D927A1"/>
    <w:rsid w:val="00D92C72"/>
    <w:rsid w:val="00D9315C"/>
    <w:rsid w:val="00D94704"/>
    <w:rsid w:val="00D95372"/>
    <w:rsid w:val="00D96C90"/>
    <w:rsid w:val="00D9705A"/>
    <w:rsid w:val="00DA07BF"/>
    <w:rsid w:val="00DA44FA"/>
    <w:rsid w:val="00DA5ADE"/>
    <w:rsid w:val="00DA61AC"/>
    <w:rsid w:val="00DA64DF"/>
    <w:rsid w:val="00DA65A2"/>
    <w:rsid w:val="00DA672D"/>
    <w:rsid w:val="00DA7371"/>
    <w:rsid w:val="00DB0280"/>
    <w:rsid w:val="00DB0998"/>
    <w:rsid w:val="00DB12E1"/>
    <w:rsid w:val="00DB4A90"/>
    <w:rsid w:val="00DB58A3"/>
    <w:rsid w:val="00DB5FBF"/>
    <w:rsid w:val="00DB647D"/>
    <w:rsid w:val="00DC498C"/>
    <w:rsid w:val="00DC54AB"/>
    <w:rsid w:val="00DC60BE"/>
    <w:rsid w:val="00DC6AA8"/>
    <w:rsid w:val="00DC765F"/>
    <w:rsid w:val="00DD0751"/>
    <w:rsid w:val="00DD2C22"/>
    <w:rsid w:val="00DD3BA0"/>
    <w:rsid w:val="00DD4534"/>
    <w:rsid w:val="00DD62FF"/>
    <w:rsid w:val="00DE1D39"/>
    <w:rsid w:val="00DE1F10"/>
    <w:rsid w:val="00DE31DF"/>
    <w:rsid w:val="00DE3247"/>
    <w:rsid w:val="00DE3EA4"/>
    <w:rsid w:val="00DE4522"/>
    <w:rsid w:val="00DE4AD0"/>
    <w:rsid w:val="00DE4F54"/>
    <w:rsid w:val="00DF146A"/>
    <w:rsid w:val="00DF155D"/>
    <w:rsid w:val="00DF2F4D"/>
    <w:rsid w:val="00DF45F0"/>
    <w:rsid w:val="00DF4A4B"/>
    <w:rsid w:val="00DF5050"/>
    <w:rsid w:val="00DF531A"/>
    <w:rsid w:val="00DF63F4"/>
    <w:rsid w:val="00DF66AF"/>
    <w:rsid w:val="00DF6D5B"/>
    <w:rsid w:val="00E00ECF"/>
    <w:rsid w:val="00E026A7"/>
    <w:rsid w:val="00E041E4"/>
    <w:rsid w:val="00E062E1"/>
    <w:rsid w:val="00E06377"/>
    <w:rsid w:val="00E10351"/>
    <w:rsid w:val="00E12DA1"/>
    <w:rsid w:val="00E135A9"/>
    <w:rsid w:val="00E13ACC"/>
    <w:rsid w:val="00E14C2C"/>
    <w:rsid w:val="00E159A7"/>
    <w:rsid w:val="00E161D3"/>
    <w:rsid w:val="00E17817"/>
    <w:rsid w:val="00E20485"/>
    <w:rsid w:val="00E210EF"/>
    <w:rsid w:val="00E22CD5"/>
    <w:rsid w:val="00E236B5"/>
    <w:rsid w:val="00E253D7"/>
    <w:rsid w:val="00E26336"/>
    <w:rsid w:val="00E27B46"/>
    <w:rsid w:val="00E27DF7"/>
    <w:rsid w:val="00E35AAE"/>
    <w:rsid w:val="00E36761"/>
    <w:rsid w:val="00E36AC4"/>
    <w:rsid w:val="00E37D1F"/>
    <w:rsid w:val="00E4012C"/>
    <w:rsid w:val="00E401D6"/>
    <w:rsid w:val="00E40A6C"/>
    <w:rsid w:val="00E41885"/>
    <w:rsid w:val="00E418D1"/>
    <w:rsid w:val="00E41C91"/>
    <w:rsid w:val="00E43D0A"/>
    <w:rsid w:val="00E44A82"/>
    <w:rsid w:val="00E44FE1"/>
    <w:rsid w:val="00E46308"/>
    <w:rsid w:val="00E4631C"/>
    <w:rsid w:val="00E46A66"/>
    <w:rsid w:val="00E46F23"/>
    <w:rsid w:val="00E47C85"/>
    <w:rsid w:val="00E54DD7"/>
    <w:rsid w:val="00E55FD1"/>
    <w:rsid w:val="00E57AE6"/>
    <w:rsid w:val="00E603A0"/>
    <w:rsid w:val="00E60D9A"/>
    <w:rsid w:val="00E610A7"/>
    <w:rsid w:val="00E621A2"/>
    <w:rsid w:val="00E655E5"/>
    <w:rsid w:val="00E67B26"/>
    <w:rsid w:val="00E67C07"/>
    <w:rsid w:val="00E721AA"/>
    <w:rsid w:val="00E77230"/>
    <w:rsid w:val="00E80E7F"/>
    <w:rsid w:val="00E81150"/>
    <w:rsid w:val="00E83251"/>
    <w:rsid w:val="00E83F36"/>
    <w:rsid w:val="00E84E07"/>
    <w:rsid w:val="00E85D71"/>
    <w:rsid w:val="00E867C6"/>
    <w:rsid w:val="00E927AC"/>
    <w:rsid w:val="00E951A5"/>
    <w:rsid w:val="00E956A6"/>
    <w:rsid w:val="00E97C17"/>
    <w:rsid w:val="00EA015D"/>
    <w:rsid w:val="00EA1666"/>
    <w:rsid w:val="00EA20B3"/>
    <w:rsid w:val="00EA3D52"/>
    <w:rsid w:val="00EA4204"/>
    <w:rsid w:val="00EA52F2"/>
    <w:rsid w:val="00EA5D2B"/>
    <w:rsid w:val="00EA60A6"/>
    <w:rsid w:val="00EA72BD"/>
    <w:rsid w:val="00EB1FF6"/>
    <w:rsid w:val="00EB2922"/>
    <w:rsid w:val="00EB34FF"/>
    <w:rsid w:val="00EB4421"/>
    <w:rsid w:val="00EB4DF0"/>
    <w:rsid w:val="00EC05B0"/>
    <w:rsid w:val="00EC68C2"/>
    <w:rsid w:val="00ED0081"/>
    <w:rsid w:val="00ED1A70"/>
    <w:rsid w:val="00ED2379"/>
    <w:rsid w:val="00ED3D5A"/>
    <w:rsid w:val="00ED4442"/>
    <w:rsid w:val="00ED6DF8"/>
    <w:rsid w:val="00ED6F82"/>
    <w:rsid w:val="00EE1CD8"/>
    <w:rsid w:val="00EE1D06"/>
    <w:rsid w:val="00EE25D2"/>
    <w:rsid w:val="00EE27E2"/>
    <w:rsid w:val="00EE46DA"/>
    <w:rsid w:val="00EE68F1"/>
    <w:rsid w:val="00EF1806"/>
    <w:rsid w:val="00EF1E2E"/>
    <w:rsid w:val="00EF230A"/>
    <w:rsid w:val="00EF2727"/>
    <w:rsid w:val="00EF3212"/>
    <w:rsid w:val="00EF4A4C"/>
    <w:rsid w:val="00EF6213"/>
    <w:rsid w:val="00F00F43"/>
    <w:rsid w:val="00F0121F"/>
    <w:rsid w:val="00F01C3F"/>
    <w:rsid w:val="00F03432"/>
    <w:rsid w:val="00F0679B"/>
    <w:rsid w:val="00F0768B"/>
    <w:rsid w:val="00F07A5D"/>
    <w:rsid w:val="00F10620"/>
    <w:rsid w:val="00F11375"/>
    <w:rsid w:val="00F1218C"/>
    <w:rsid w:val="00F127B5"/>
    <w:rsid w:val="00F14296"/>
    <w:rsid w:val="00F14811"/>
    <w:rsid w:val="00F15510"/>
    <w:rsid w:val="00F17F39"/>
    <w:rsid w:val="00F20410"/>
    <w:rsid w:val="00F20D1B"/>
    <w:rsid w:val="00F21E0B"/>
    <w:rsid w:val="00F23576"/>
    <w:rsid w:val="00F255E5"/>
    <w:rsid w:val="00F2711B"/>
    <w:rsid w:val="00F27C17"/>
    <w:rsid w:val="00F3166A"/>
    <w:rsid w:val="00F333D8"/>
    <w:rsid w:val="00F35DA2"/>
    <w:rsid w:val="00F36B58"/>
    <w:rsid w:val="00F36EAF"/>
    <w:rsid w:val="00F374CD"/>
    <w:rsid w:val="00F378C0"/>
    <w:rsid w:val="00F4011B"/>
    <w:rsid w:val="00F407A3"/>
    <w:rsid w:val="00F41E91"/>
    <w:rsid w:val="00F42367"/>
    <w:rsid w:val="00F43B07"/>
    <w:rsid w:val="00F4583A"/>
    <w:rsid w:val="00F47504"/>
    <w:rsid w:val="00F47BEA"/>
    <w:rsid w:val="00F53F0C"/>
    <w:rsid w:val="00F54769"/>
    <w:rsid w:val="00F549CF"/>
    <w:rsid w:val="00F64F21"/>
    <w:rsid w:val="00F65507"/>
    <w:rsid w:val="00F662E1"/>
    <w:rsid w:val="00F66871"/>
    <w:rsid w:val="00F66A64"/>
    <w:rsid w:val="00F67C46"/>
    <w:rsid w:val="00F70047"/>
    <w:rsid w:val="00F72D3B"/>
    <w:rsid w:val="00F733EC"/>
    <w:rsid w:val="00F740EB"/>
    <w:rsid w:val="00F744EF"/>
    <w:rsid w:val="00F74FFD"/>
    <w:rsid w:val="00F76045"/>
    <w:rsid w:val="00F7753F"/>
    <w:rsid w:val="00F8008A"/>
    <w:rsid w:val="00F80D5A"/>
    <w:rsid w:val="00F81B23"/>
    <w:rsid w:val="00F82632"/>
    <w:rsid w:val="00F826A4"/>
    <w:rsid w:val="00F828AF"/>
    <w:rsid w:val="00F83751"/>
    <w:rsid w:val="00F85A61"/>
    <w:rsid w:val="00F86B0D"/>
    <w:rsid w:val="00F90DBE"/>
    <w:rsid w:val="00F94A00"/>
    <w:rsid w:val="00F9523F"/>
    <w:rsid w:val="00F952EA"/>
    <w:rsid w:val="00FA0D5D"/>
    <w:rsid w:val="00FA1665"/>
    <w:rsid w:val="00FA26B1"/>
    <w:rsid w:val="00FA2DF1"/>
    <w:rsid w:val="00FA3460"/>
    <w:rsid w:val="00FA3EC5"/>
    <w:rsid w:val="00FA6580"/>
    <w:rsid w:val="00FA7E1A"/>
    <w:rsid w:val="00FB1882"/>
    <w:rsid w:val="00FB1ECF"/>
    <w:rsid w:val="00FB2166"/>
    <w:rsid w:val="00FB2C25"/>
    <w:rsid w:val="00FB39BE"/>
    <w:rsid w:val="00FB421E"/>
    <w:rsid w:val="00FB430F"/>
    <w:rsid w:val="00FC0987"/>
    <w:rsid w:val="00FC2F33"/>
    <w:rsid w:val="00FC4114"/>
    <w:rsid w:val="00FC4781"/>
    <w:rsid w:val="00FC4EBF"/>
    <w:rsid w:val="00FC66F8"/>
    <w:rsid w:val="00FC6969"/>
    <w:rsid w:val="00FC6A07"/>
    <w:rsid w:val="00FC6BF9"/>
    <w:rsid w:val="00FC7CCF"/>
    <w:rsid w:val="00FD148D"/>
    <w:rsid w:val="00FD36A5"/>
    <w:rsid w:val="00FD486C"/>
    <w:rsid w:val="00FE0609"/>
    <w:rsid w:val="00FE0689"/>
    <w:rsid w:val="00FE088E"/>
    <w:rsid w:val="00FE1CB4"/>
    <w:rsid w:val="00FE1F83"/>
    <w:rsid w:val="00FE2AAD"/>
    <w:rsid w:val="00FE58C4"/>
    <w:rsid w:val="00FE59FE"/>
    <w:rsid w:val="00FE5E49"/>
    <w:rsid w:val="00FE65F2"/>
    <w:rsid w:val="00FF1846"/>
    <w:rsid w:val="00FF2325"/>
    <w:rsid w:val="00FF3577"/>
    <w:rsid w:val="00FF54BB"/>
    <w:rsid w:val="015B35AA"/>
    <w:rsid w:val="02884D23"/>
    <w:rsid w:val="032C68FA"/>
    <w:rsid w:val="03372AE1"/>
    <w:rsid w:val="04BE4CC7"/>
    <w:rsid w:val="05B45064"/>
    <w:rsid w:val="05F92AE7"/>
    <w:rsid w:val="078345E5"/>
    <w:rsid w:val="08095F50"/>
    <w:rsid w:val="085D1AA5"/>
    <w:rsid w:val="0906619E"/>
    <w:rsid w:val="0D2008B3"/>
    <w:rsid w:val="0E036DA8"/>
    <w:rsid w:val="0E2541B9"/>
    <w:rsid w:val="0E621E0F"/>
    <w:rsid w:val="0E872B01"/>
    <w:rsid w:val="0FE60F3E"/>
    <w:rsid w:val="105B06A6"/>
    <w:rsid w:val="10B44025"/>
    <w:rsid w:val="1135460E"/>
    <w:rsid w:val="13DE2BE5"/>
    <w:rsid w:val="148F2EC5"/>
    <w:rsid w:val="15BD0051"/>
    <w:rsid w:val="15BE6A35"/>
    <w:rsid w:val="16CC0F97"/>
    <w:rsid w:val="1825774A"/>
    <w:rsid w:val="18FD0A68"/>
    <w:rsid w:val="1AAF0378"/>
    <w:rsid w:val="1C2F27B0"/>
    <w:rsid w:val="1CDB515F"/>
    <w:rsid w:val="1D4629C7"/>
    <w:rsid w:val="20071DE0"/>
    <w:rsid w:val="209E5D14"/>
    <w:rsid w:val="20C92097"/>
    <w:rsid w:val="20DE2403"/>
    <w:rsid w:val="2113291E"/>
    <w:rsid w:val="21297B19"/>
    <w:rsid w:val="213B55CF"/>
    <w:rsid w:val="2156787A"/>
    <w:rsid w:val="219F5580"/>
    <w:rsid w:val="21BB264E"/>
    <w:rsid w:val="22552613"/>
    <w:rsid w:val="2434160D"/>
    <w:rsid w:val="24E30433"/>
    <w:rsid w:val="25B91881"/>
    <w:rsid w:val="25E6747D"/>
    <w:rsid w:val="271B5B33"/>
    <w:rsid w:val="27E567AF"/>
    <w:rsid w:val="28202C21"/>
    <w:rsid w:val="285F1536"/>
    <w:rsid w:val="28A4049A"/>
    <w:rsid w:val="296E0E95"/>
    <w:rsid w:val="2B475D60"/>
    <w:rsid w:val="2BE101AC"/>
    <w:rsid w:val="2C037214"/>
    <w:rsid w:val="2D7C7920"/>
    <w:rsid w:val="2DAA6EC0"/>
    <w:rsid w:val="2F72053F"/>
    <w:rsid w:val="3099755E"/>
    <w:rsid w:val="31653B3E"/>
    <w:rsid w:val="33107132"/>
    <w:rsid w:val="34403C77"/>
    <w:rsid w:val="352C0E52"/>
    <w:rsid w:val="379649EA"/>
    <w:rsid w:val="380E6CD7"/>
    <w:rsid w:val="38365AE5"/>
    <w:rsid w:val="39961F1F"/>
    <w:rsid w:val="39B24319"/>
    <w:rsid w:val="3ACA5AC1"/>
    <w:rsid w:val="3B1B3ACA"/>
    <w:rsid w:val="3CAB604C"/>
    <w:rsid w:val="3CAF3767"/>
    <w:rsid w:val="3F9860C4"/>
    <w:rsid w:val="40601641"/>
    <w:rsid w:val="435410C1"/>
    <w:rsid w:val="444E3D69"/>
    <w:rsid w:val="446023A5"/>
    <w:rsid w:val="45E03346"/>
    <w:rsid w:val="46575BA5"/>
    <w:rsid w:val="48E95280"/>
    <w:rsid w:val="49D64E14"/>
    <w:rsid w:val="4B9957AE"/>
    <w:rsid w:val="4C1930EC"/>
    <w:rsid w:val="4C6A7227"/>
    <w:rsid w:val="4F78147C"/>
    <w:rsid w:val="4FC12960"/>
    <w:rsid w:val="50A2046A"/>
    <w:rsid w:val="51952DA4"/>
    <w:rsid w:val="51B20305"/>
    <w:rsid w:val="51D57174"/>
    <w:rsid w:val="528D5055"/>
    <w:rsid w:val="53F36071"/>
    <w:rsid w:val="54893A7C"/>
    <w:rsid w:val="562916A2"/>
    <w:rsid w:val="56C3379D"/>
    <w:rsid w:val="56C93141"/>
    <w:rsid w:val="570260FE"/>
    <w:rsid w:val="573C665B"/>
    <w:rsid w:val="587B5F00"/>
    <w:rsid w:val="59251E01"/>
    <w:rsid w:val="593C1086"/>
    <w:rsid w:val="59DA715C"/>
    <w:rsid w:val="5A0A232F"/>
    <w:rsid w:val="5A3F5C03"/>
    <w:rsid w:val="5A5C422E"/>
    <w:rsid w:val="5B22096B"/>
    <w:rsid w:val="5E05548A"/>
    <w:rsid w:val="605A458B"/>
    <w:rsid w:val="60D91380"/>
    <w:rsid w:val="6118343F"/>
    <w:rsid w:val="612E2BF1"/>
    <w:rsid w:val="615038AB"/>
    <w:rsid w:val="63B67F69"/>
    <w:rsid w:val="641C080A"/>
    <w:rsid w:val="64A07158"/>
    <w:rsid w:val="679C3446"/>
    <w:rsid w:val="6B3723D2"/>
    <w:rsid w:val="6C034E48"/>
    <w:rsid w:val="6D1D7CAA"/>
    <w:rsid w:val="6DB44463"/>
    <w:rsid w:val="6E9D5F1E"/>
    <w:rsid w:val="70DF3561"/>
    <w:rsid w:val="720E7338"/>
    <w:rsid w:val="730162BB"/>
    <w:rsid w:val="73163863"/>
    <w:rsid w:val="747A2434"/>
    <w:rsid w:val="754B7E76"/>
    <w:rsid w:val="782931C3"/>
    <w:rsid w:val="786728E3"/>
    <w:rsid w:val="794A7736"/>
    <w:rsid w:val="796A6E07"/>
    <w:rsid w:val="798C2E36"/>
    <w:rsid w:val="7AEE71E1"/>
    <w:rsid w:val="7B5229C0"/>
    <w:rsid w:val="7BF019F8"/>
    <w:rsid w:val="7C4A4134"/>
    <w:rsid w:val="7CAA3FBF"/>
    <w:rsid w:val="7CB209A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v:shadow on="t" type="perspective" obscured="f" color="#FFFFFF" opacity="32768f" offset="1pt,2pt" offset2="-1pt,-2pt" origin="0f,0f" matrix="65536f,0f,0f,65536f,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2"/>
      <w:lang w:val="en-US" w:eastAsia="zh-CN" w:bidi="ar-SA"/>
    </w:rPr>
  </w:style>
  <w:style w:type="paragraph" w:styleId="2">
    <w:name w:val="heading 1"/>
    <w:basedOn w:val="1"/>
    <w:next w:val="1"/>
    <w:link w:val="34"/>
    <w:qFormat/>
    <w:uiPriority w:val="99"/>
    <w:pPr>
      <w:keepNext/>
      <w:spacing w:line="520" w:lineRule="exact"/>
      <w:outlineLvl w:val="0"/>
    </w:pPr>
    <w:rPr>
      <w:rFonts w:ascii="宋体" w:hAnsi="宋体" w:cs="宋体"/>
      <w:sz w:val="28"/>
      <w:szCs w:val="28"/>
    </w:rPr>
  </w:style>
  <w:style w:type="paragraph" w:styleId="3">
    <w:name w:val="heading 2"/>
    <w:basedOn w:val="1"/>
    <w:next w:val="1"/>
    <w:link w:val="35"/>
    <w:qFormat/>
    <w:uiPriority w:val="99"/>
    <w:pPr>
      <w:keepNext/>
      <w:keepLines/>
      <w:spacing w:before="260" w:after="260" w:line="413" w:lineRule="auto"/>
      <w:outlineLvl w:val="1"/>
    </w:pPr>
    <w:rPr>
      <w:rFonts w:ascii="Arial" w:hAnsi="Arial" w:eastAsia="黑体" w:cs="Arial"/>
      <w:b/>
      <w:bCs/>
      <w:sz w:val="32"/>
      <w:szCs w:val="32"/>
    </w:rPr>
  </w:style>
  <w:style w:type="paragraph" w:styleId="4">
    <w:name w:val="heading 3"/>
    <w:basedOn w:val="1"/>
    <w:next w:val="1"/>
    <w:link w:val="36"/>
    <w:qFormat/>
    <w:uiPriority w:val="99"/>
    <w:pPr>
      <w:keepNext/>
      <w:keepLines/>
      <w:spacing w:before="260" w:after="260" w:line="413" w:lineRule="auto"/>
      <w:outlineLvl w:val="2"/>
    </w:pPr>
    <w:rPr>
      <w:b/>
      <w:bCs/>
      <w:sz w:val="32"/>
      <w:szCs w:val="32"/>
    </w:rPr>
  </w:style>
  <w:style w:type="paragraph" w:styleId="5">
    <w:name w:val="heading 5"/>
    <w:basedOn w:val="1"/>
    <w:next w:val="1"/>
    <w:link w:val="85"/>
    <w:semiHidden/>
    <w:unhideWhenUsed/>
    <w:qFormat/>
    <w:locked/>
    <w:uiPriority w:val="0"/>
    <w:pPr>
      <w:keepNext/>
      <w:keepLines/>
      <w:spacing w:before="280" w:after="290" w:line="376" w:lineRule="auto"/>
      <w:outlineLvl w:val="4"/>
    </w:pPr>
    <w:rPr>
      <w:b/>
      <w:bCs/>
      <w:sz w:val="28"/>
      <w:szCs w:val="28"/>
    </w:rPr>
  </w:style>
  <w:style w:type="character" w:default="1" w:styleId="29">
    <w:name w:val="Default Paragraph Font"/>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6">
    <w:name w:val="toc 7"/>
    <w:basedOn w:val="1"/>
    <w:next w:val="1"/>
    <w:semiHidden/>
    <w:qFormat/>
    <w:uiPriority w:val="99"/>
    <w:pPr>
      <w:ind w:left="2520" w:leftChars="1200"/>
    </w:pPr>
    <w:rPr>
      <w:szCs w:val="21"/>
    </w:rPr>
  </w:style>
  <w:style w:type="paragraph" w:styleId="7">
    <w:name w:val="caption"/>
    <w:basedOn w:val="1"/>
    <w:next w:val="1"/>
    <w:qFormat/>
    <w:uiPriority w:val="99"/>
    <w:rPr>
      <w:rFonts w:ascii="Arial" w:hAnsi="Arial" w:eastAsia="黑体" w:cs="Arial"/>
      <w:sz w:val="20"/>
      <w:szCs w:val="20"/>
    </w:rPr>
  </w:style>
  <w:style w:type="paragraph" w:styleId="8">
    <w:name w:val="annotation text"/>
    <w:basedOn w:val="1"/>
    <w:link w:val="37"/>
    <w:semiHidden/>
    <w:qFormat/>
    <w:uiPriority w:val="99"/>
    <w:pPr>
      <w:jc w:val="left"/>
    </w:pPr>
    <w:rPr>
      <w:szCs w:val="21"/>
    </w:rPr>
  </w:style>
  <w:style w:type="paragraph" w:styleId="9">
    <w:name w:val="Body Text"/>
    <w:basedOn w:val="1"/>
    <w:link w:val="82"/>
    <w:semiHidden/>
    <w:unhideWhenUsed/>
    <w:uiPriority w:val="99"/>
    <w:pPr>
      <w:spacing w:after="120"/>
    </w:pPr>
  </w:style>
  <w:style w:type="paragraph" w:styleId="10">
    <w:name w:val="Body Text Indent"/>
    <w:basedOn w:val="1"/>
    <w:link w:val="38"/>
    <w:qFormat/>
    <w:uiPriority w:val="99"/>
    <w:pPr>
      <w:spacing w:after="120"/>
      <w:ind w:left="420" w:leftChars="200"/>
    </w:pPr>
    <w:rPr>
      <w:szCs w:val="21"/>
    </w:rPr>
  </w:style>
  <w:style w:type="paragraph" w:styleId="11">
    <w:name w:val="toc 5"/>
    <w:basedOn w:val="1"/>
    <w:next w:val="1"/>
    <w:semiHidden/>
    <w:qFormat/>
    <w:uiPriority w:val="99"/>
    <w:pPr>
      <w:ind w:left="1680" w:leftChars="800"/>
    </w:pPr>
    <w:rPr>
      <w:szCs w:val="21"/>
    </w:rPr>
  </w:style>
  <w:style w:type="paragraph" w:styleId="12">
    <w:name w:val="toc 3"/>
    <w:basedOn w:val="1"/>
    <w:next w:val="1"/>
    <w:qFormat/>
    <w:uiPriority w:val="39"/>
    <w:pPr>
      <w:ind w:left="840" w:leftChars="400"/>
    </w:pPr>
    <w:rPr>
      <w:szCs w:val="21"/>
    </w:rPr>
  </w:style>
  <w:style w:type="paragraph" w:styleId="13">
    <w:name w:val="Plain Text"/>
    <w:basedOn w:val="1"/>
    <w:link w:val="39"/>
    <w:qFormat/>
    <w:uiPriority w:val="99"/>
    <w:rPr>
      <w:rFonts w:ascii="宋体" w:hAnsi="Courier New" w:cs="宋体"/>
      <w:szCs w:val="21"/>
    </w:rPr>
  </w:style>
  <w:style w:type="paragraph" w:styleId="14">
    <w:name w:val="toc 8"/>
    <w:basedOn w:val="1"/>
    <w:next w:val="1"/>
    <w:semiHidden/>
    <w:qFormat/>
    <w:uiPriority w:val="99"/>
    <w:pPr>
      <w:ind w:left="2940" w:leftChars="1400"/>
    </w:pPr>
    <w:rPr>
      <w:szCs w:val="21"/>
    </w:rPr>
  </w:style>
  <w:style w:type="paragraph" w:styleId="15">
    <w:name w:val="Date"/>
    <w:basedOn w:val="1"/>
    <w:next w:val="1"/>
    <w:link w:val="40"/>
    <w:qFormat/>
    <w:uiPriority w:val="99"/>
    <w:pPr>
      <w:ind w:left="100" w:leftChars="2500"/>
    </w:pPr>
    <w:rPr>
      <w:szCs w:val="21"/>
    </w:rPr>
  </w:style>
  <w:style w:type="paragraph" w:styleId="16">
    <w:name w:val="Balloon Text"/>
    <w:basedOn w:val="1"/>
    <w:link w:val="41"/>
    <w:semiHidden/>
    <w:qFormat/>
    <w:uiPriority w:val="99"/>
    <w:rPr>
      <w:sz w:val="18"/>
      <w:szCs w:val="18"/>
    </w:rPr>
  </w:style>
  <w:style w:type="paragraph" w:styleId="17">
    <w:name w:val="footer"/>
    <w:basedOn w:val="1"/>
    <w:link w:val="42"/>
    <w:qFormat/>
    <w:uiPriority w:val="99"/>
    <w:pPr>
      <w:tabs>
        <w:tab w:val="center" w:pos="4153"/>
        <w:tab w:val="right" w:pos="8306"/>
      </w:tabs>
      <w:snapToGrid w:val="0"/>
      <w:jc w:val="left"/>
    </w:pPr>
    <w:rPr>
      <w:sz w:val="18"/>
      <w:szCs w:val="18"/>
    </w:rPr>
  </w:style>
  <w:style w:type="paragraph" w:styleId="18">
    <w:name w:val="header"/>
    <w:basedOn w:val="1"/>
    <w:link w:val="43"/>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tabs>
        <w:tab w:val="right" w:leader="dot" w:pos="8296"/>
      </w:tabs>
      <w:jc w:val="left"/>
    </w:pPr>
    <w:rPr>
      <w:szCs w:val="24"/>
    </w:rPr>
  </w:style>
  <w:style w:type="paragraph" w:styleId="20">
    <w:name w:val="toc 4"/>
    <w:basedOn w:val="1"/>
    <w:next w:val="1"/>
    <w:semiHidden/>
    <w:qFormat/>
    <w:uiPriority w:val="99"/>
    <w:pPr>
      <w:ind w:left="1260" w:leftChars="600"/>
    </w:pPr>
    <w:rPr>
      <w:szCs w:val="21"/>
    </w:rPr>
  </w:style>
  <w:style w:type="paragraph" w:styleId="21">
    <w:name w:val="toc 6"/>
    <w:basedOn w:val="1"/>
    <w:next w:val="1"/>
    <w:semiHidden/>
    <w:qFormat/>
    <w:uiPriority w:val="99"/>
    <w:pPr>
      <w:ind w:left="2100" w:leftChars="1000"/>
    </w:pPr>
    <w:rPr>
      <w:szCs w:val="21"/>
    </w:rPr>
  </w:style>
  <w:style w:type="paragraph" w:styleId="22">
    <w:name w:val="toc 2"/>
    <w:basedOn w:val="1"/>
    <w:next w:val="1"/>
    <w:qFormat/>
    <w:uiPriority w:val="39"/>
    <w:pPr>
      <w:ind w:left="420" w:leftChars="200"/>
    </w:pPr>
    <w:rPr>
      <w:szCs w:val="21"/>
    </w:rPr>
  </w:style>
  <w:style w:type="paragraph" w:styleId="23">
    <w:name w:val="toc 9"/>
    <w:basedOn w:val="1"/>
    <w:next w:val="1"/>
    <w:semiHidden/>
    <w:qFormat/>
    <w:uiPriority w:val="99"/>
    <w:pPr>
      <w:ind w:left="3360" w:leftChars="1600"/>
    </w:pPr>
    <w:rPr>
      <w:szCs w:val="21"/>
    </w:rPr>
  </w:style>
  <w:style w:type="paragraph" w:styleId="24">
    <w:name w:val="Normal (Web)"/>
    <w:basedOn w:val="1"/>
    <w:qFormat/>
    <w:uiPriority w:val="99"/>
    <w:pPr>
      <w:widowControl/>
      <w:spacing w:before="100" w:beforeAutospacing="1" w:after="100" w:afterAutospacing="1"/>
      <w:jc w:val="left"/>
    </w:pPr>
    <w:rPr>
      <w:rFonts w:ascii="宋体" w:hAnsi="宋体" w:cs="宋体"/>
      <w:kern w:val="0"/>
      <w:szCs w:val="24"/>
    </w:rPr>
  </w:style>
  <w:style w:type="paragraph" w:styleId="25">
    <w:name w:val="Title"/>
    <w:basedOn w:val="1"/>
    <w:next w:val="1"/>
    <w:link w:val="80"/>
    <w:qFormat/>
    <w:locked/>
    <w:uiPriority w:val="0"/>
    <w:pPr>
      <w:spacing w:before="240" w:after="60"/>
      <w:jc w:val="center"/>
      <w:outlineLvl w:val="0"/>
    </w:pPr>
    <w:rPr>
      <w:rFonts w:asciiTheme="majorHAnsi" w:hAnsiTheme="majorHAnsi" w:eastAsiaTheme="majorEastAsia" w:cstheme="majorBidi"/>
      <w:b/>
      <w:bCs/>
      <w:sz w:val="32"/>
      <w:szCs w:val="32"/>
    </w:rPr>
  </w:style>
  <w:style w:type="paragraph" w:styleId="26">
    <w:name w:val="annotation subject"/>
    <w:basedOn w:val="8"/>
    <w:next w:val="8"/>
    <w:link w:val="44"/>
    <w:semiHidden/>
    <w:qFormat/>
    <w:uiPriority w:val="99"/>
    <w:rPr>
      <w:b/>
      <w:bCs/>
    </w:rPr>
  </w:style>
  <w:style w:type="table" w:styleId="28">
    <w:name w:val="Table Grid"/>
    <w:basedOn w:val="2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qFormat/>
    <w:uiPriority w:val="99"/>
    <w:rPr>
      <w:rFonts w:cs="Times New Roman"/>
    </w:rPr>
  </w:style>
  <w:style w:type="character" w:styleId="31">
    <w:name w:val="Emphasis"/>
    <w:qFormat/>
    <w:uiPriority w:val="99"/>
    <w:rPr>
      <w:rFonts w:cs="Times New Roman"/>
      <w:i/>
      <w:iCs/>
    </w:rPr>
  </w:style>
  <w:style w:type="character" w:styleId="32">
    <w:name w:val="Hyperlink"/>
    <w:qFormat/>
    <w:uiPriority w:val="99"/>
    <w:rPr>
      <w:rFonts w:cs="Times New Roman"/>
      <w:color w:val="0000FF"/>
      <w:u w:val="single"/>
    </w:rPr>
  </w:style>
  <w:style w:type="character" w:styleId="33">
    <w:name w:val="annotation reference"/>
    <w:semiHidden/>
    <w:qFormat/>
    <w:uiPriority w:val="99"/>
    <w:rPr>
      <w:rFonts w:cs="Times New Roman"/>
      <w:sz w:val="21"/>
      <w:szCs w:val="21"/>
    </w:rPr>
  </w:style>
  <w:style w:type="character" w:customStyle="1" w:styleId="34">
    <w:name w:val="标题 1 字符"/>
    <w:link w:val="2"/>
    <w:qFormat/>
    <w:locked/>
    <w:uiPriority w:val="99"/>
    <w:rPr>
      <w:rFonts w:ascii="宋体" w:hAnsi="宋体" w:eastAsia="宋体" w:cs="宋体"/>
      <w:sz w:val="28"/>
      <w:szCs w:val="28"/>
    </w:rPr>
  </w:style>
  <w:style w:type="character" w:customStyle="1" w:styleId="35">
    <w:name w:val="标题 2 字符"/>
    <w:link w:val="3"/>
    <w:qFormat/>
    <w:locked/>
    <w:uiPriority w:val="99"/>
    <w:rPr>
      <w:rFonts w:ascii="Arial" w:hAnsi="Arial" w:eastAsia="黑体" w:cs="Arial"/>
      <w:b/>
      <w:bCs/>
      <w:sz w:val="32"/>
      <w:szCs w:val="32"/>
    </w:rPr>
  </w:style>
  <w:style w:type="character" w:customStyle="1" w:styleId="36">
    <w:name w:val="标题 3 字符"/>
    <w:link w:val="4"/>
    <w:qFormat/>
    <w:locked/>
    <w:uiPriority w:val="99"/>
    <w:rPr>
      <w:rFonts w:ascii="Times New Roman" w:hAnsi="Times New Roman" w:eastAsia="宋体" w:cs="Times New Roman"/>
      <w:b/>
      <w:bCs/>
      <w:sz w:val="32"/>
      <w:szCs w:val="32"/>
    </w:rPr>
  </w:style>
  <w:style w:type="character" w:customStyle="1" w:styleId="37">
    <w:name w:val="批注文字 字符"/>
    <w:link w:val="8"/>
    <w:semiHidden/>
    <w:qFormat/>
    <w:locked/>
    <w:uiPriority w:val="99"/>
    <w:rPr>
      <w:rFonts w:ascii="Times New Roman" w:hAnsi="Times New Roman" w:eastAsia="宋体" w:cs="Times New Roman"/>
      <w:sz w:val="21"/>
      <w:szCs w:val="21"/>
    </w:rPr>
  </w:style>
  <w:style w:type="character" w:customStyle="1" w:styleId="38">
    <w:name w:val="正文文本缩进 字符"/>
    <w:link w:val="10"/>
    <w:qFormat/>
    <w:locked/>
    <w:uiPriority w:val="99"/>
    <w:rPr>
      <w:rFonts w:ascii="Times New Roman" w:hAnsi="Times New Roman" w:eastAsia="宋体" w:cs="Times New Roman"/>
      <w:sz w:val="21"/>
      <w:szCs w:val="21"/>
    </w:rPr>
  </w:style>
  <w:style w:type="character" w:customStyle="1" w:styleId="39">
    <w:name w:val="纯文本 字符"/>
    <w:link w:val="13"/>
    <w:qFormat/>
    <w:locked/>
    <w:uiPriority w:val="99"/>
    <w:rPr>
      <w:rFonts w:ascii="宋体" w:hAnsi="Courier New" w:eastAsia="宋体" w:cs="宋体"/>
      <w:sz w:val="21"/>
      <w:szCs w:val="21"/>
    </w:rPr>
  </w:style>
  <w:style w:type="character" w:customStyle="1" w:styleId="40">
    <w:name w:val="日期 字符"/>
    <w:link w:val="15"/>
    <w:qFormat/>
    <w:locked/>
    <w:uiPriority w:val="99"/>
    <w:rPr>
      <w:rFonts w:ascii="Times New Roman" w:hAnsi="Times New Roman" w:eastAsia="宋体" w:cs="Times New Roman"/>
      <w:sz w:val="21"/>
      <w:szCs w:val="21"/>
    </w:rPr>
  </w:style>
  <w:style w:type="character" w:customStyle="1" w:styleId="41">
    <w:name w:val="批注框文本 字符"/>
    <w:link w:val="16"/>
    <w:semiHidden/>
    <w:qFormat/>
    <w:locked/>
    <w:uiPriority w:val="99"/>
    <w:rPr>
      <w:rFonts w:cs="Times New Roman"/>
      <w:sz w:val="18"/>
      <w:szCs w:val="18"/>
    </w:rPr>
  </w:style>
  <w:style w:type="character" w:customStyle="1" w:styleId="42">
    <w:name w:val="页脚 字符"/>
    <w:link w:val="17"/>
    <w:qFormat/>
    <w:locked/>
    <w:uiPriority w:val="99"/>
    <w:rPr>
      <w:rFonts w:cs="Times New Roman"/>
      <w:sz w:val="18"/>
      <w:szCs w:val="18"/>
    </w:rPr>
  </w:style>
  <w:style w:type="character" w:customStyle="1" w:styleId="43">
    <w:name w:val="页眉 字符"/>
    <w:link w:val="18"/>
    <w:semiHidden/>
    <w:qFormat/>
    <w:locked/>
    <w:uiPriority w:val="99"/>
    <w:rPr>
      <w:rFonts w:cs="Times New Roman"/>
      <w:sz w:val="18"/>
      <w:szCs w:val="18"/>
    </w:rPr>
  </w:style>
  <w:style w:type="character" w:customStyle="1" w:styleId="44">
    <w:name w:val="批注主题 字符"/>
    <w:link w:val="26"/>
    <w:semiHidden/>
    <w:qFormat/>
    <w:locked/>
    <w:uiPriority w:val="99"/>
    <w:rPr>
      <w:rFonts w:ascii="Times New Roman" w:hAnsi="Times New Roman" w:eastAsia="宋体" w:cs="Times New Roman"/>
      <w:b/>
      <w:bCs/>
      <w:sz w:val="21"/>
      <w:szCs w:val="21"/>
    </w:rPr>
  </w:style>
  <w:style w:type="paragraph" w:customStyle="1" w:styleId="45">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styleId="46">
    <w:name w:val="Placeholder Text"/>
    <w:semiHidden/>
    <w:qFormat/>
    <w:uiPriority w:val="99"/>
    <w:rPr>
      <w:rFonts w:cs="Times New Roman"/>
      <w:color w:val="808080"/>
    </w:rPr>
  </w:style>
  <w:style w:type="character" w:customStyle="1" w:styleId="47">
    <w:name w:val="Char Char2"/>
    <w:qFormat/>
    <w:uiPriority w:val="99"/>
    <w:rPr>
      <w:kern w:val="2"/>
      <w:sz w:val="21"/>
    </w:rPr>
  </w:style>
  <w:style w:type="character" w:customStyle="1" w:styleId="48">
    <w:name w:val="Char Char"/>
    <w:qFormat/>
    <w:uiPriority w:val="99"/>
    <w:rPr>
      <w:b/>
      <w:kern w:val="2"/>
      <w:sz w:val="21"/>
    </w:rPr>
  </w:style>
  <w:style w:type="character" w:customStyle="1" w:styleId="49">
    <w:name w:val="段 Char Char"/>
    <w:qFormat/>
    <w:uiPriority w:val="99"/>
    <w:rPr>
      <w:rFonts w:ascii="宋体" w:eastAsia="宋体"/>
      <w:sz w:val="21"/>
      <w:lang w:val="en-US" w:eastAsia="zh-CN"/>
    </w:rPr>
  </w:style>
  <w:style w:type="paragraph" w:customStyle="1" w:styleId="50">
    <w:name w:val="样式 (符号) 宋体 行距: 最小值 27 磅"/>
    <w:basedOn w:val="1"/>
    <w:qFormat/>
    <w:uiPriority w:val="99"/>
    <w:pPr>
      <w:spacing w:line="400" w:lineRule="atLeast"/>
    </w:pPr>
    <w:rPr>
      <w:rFonts w:hAnsi="宋体"/>
      <w:szCs w:val="21"/>
    </w:rPr>
  </w:style>
  <w:style w:type="paragraph" w:customStyle="1" w:styleId="51">
    <w:name w:val="Char Char1"/>
    <w:basedOn w:val="1"/>
    <w:qFormat/>
    <w:uiPriority w:val="99"/>
    <w:rPr>
      <w:rFonts w:ascii="Tahoma" w:hAnsi="Tahoma" w:cs="Tahoma"/>
      <w:szCs w:val="24"/>
    </w:rPr>
  </w:style>
  <w:style w:type="paragraph" w:customStyle="1" w:styleId="52">
    <w:name w:val="Char Char Char1 Char Char Char Char Char Char Char Char Char Char"/>
    <w:basedOn w:val="1"/>
    <w:qFormat/>
    <w:uiPriority w:val="99"/>
    <w:pPr>
      <w:widowControl/>
      <w:spacing w:after="160" w:line="240" w:lineRule="exact"/>
      <w:jc w:val="left"/>
    </w:pPr>
    <w:rPr>
      <w:rFonts w:ascii="Verdana" w:hAnsi="Verdana" w:cs="Verdana"/>
      <w:kern w:val="0"/>
      <w:sz w:val="18"/>
      <w:szCs w:val="18"/>
      <w:lang w:eastAsia="en-US"/>
    </w:rPr>
  </w:style>
  <w:style w:type="paragraph" w:customStyle="1" w:styleId="53">
    <w:name w:val="标准文件_段"/>
    <w:qFormat/>
    <w:uiPriority w:val="0"/>
    <w:pPr>
      <w:autoSpaceDE w:val="0"/>
      <w:autoSpaceDN w:val="0"/>
      <w:adjustRightInd w:val="0"/>
      <w:snapToGrid w:val="0"/>
      <w:spacing w:line="276" w:lineRule="auto"/>
      <w:ind w:right="-105" w:rightChars="-50" w:firstLine="488" w:firstLineChars="200"/>
      <w:jc w:val="both"/>
    </w:pPr>
    <w:rPr>
      <w:rFonts w:ascii="宋体" w:hAnsi="宋体" w:eastAsia="宋体" w:cs="宋体"/>
      <w:color w:val="00FF00"/>
      <w:spacing w:val="2"/>
      <w:sz w:val="24"/>
      <w:szCs w:val="24"/>
      <w:lang w:val="en-US" w:eastAsia="zh-CN" w:bidi="ar-SA"/>
    </w:rPr>
  </w:style>
  <w:style w:type="paragraph" w:customStyle="1" w:styleId="54">
    <w:name w:val="段"/>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55">
    <w:name w:val="Char"/>
    <w:basedOn w:val="1"/>
    <w:qFormat/>
    <w:uiPriority w:val="99"/>
    <w:pPr>
      <w:tabs>
        <w:tab w:val="left" w:pos="360"/>
      </w:tabs>
    </w:pPr>
    <w:rPr>
      <w:szCs w:val="21"/>
    </w:rPr>
  </w:style>
  <w:style w:type="character" w:customStyle="1" w:styleId="56">
    <w:name w:val="yiv1204497060"/>
    <w:qFormat/>
    <w:uiPriority w:val="99"/>
    <w:rPr>
      <w:rFonts w:cs="Times New Roman"/>
    </w:rPr>
  </w:style>
  <w:style w:type="paragraph" w:customStyle="1" w:styleId="57">
    <w:name w:val="封面标准英文名称"/>
    <w:qFormat/>
    <w:uiPriority w:val="99"/>
    <w:pPr>
      <w:widowControl w:val="0"/>
      <w:spacing w:before="370" w:line="400" w:lineRule="exact"/>
      <w:jc w:val="center"/>
    </w:pPr>
    <w:rPr>
      <w:rFonts w:ascii="Times New Roman" w:hAnsi="Times New Roman" w:eastAsia="宋体" w:cs="Times New Roman"/>
      <w:sz w:val="28"/>
      <w:szCs w:val="28"/>
      <w:lang w:val="en-US" w:eastAsia="zh-CN" w:bidi="ar-SA"/>
    </w:rPr>
  </w:style>
  <w:style w:type="paragraph" w:customStyle="1" w:styleId="58">
    <w:name w:val="前言、引言标题"/>
    <w:next w:val="1"/>
    <w:qFormat/>
    <w:uiPriority w:val="99"/>
    <w:pPr>
      <w:numPr>
        <w:ilvl w:val="0"/>
        <w:numId w:val="1"/>
      </w:numPr>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59">
    <w:name w:val="章标题"/>
    <w:next w:val="54"/>
    <w:qFormat/>
    <w:uiPriority w:val="99"/>
    <w:pPr>
      <w:numPr>
        <w:ilvl w:val="1"/>
        <w:numId w:val="1"/>
      </w:numPr>
      <w:spacing w:beforeLines="50" w:afterLines="50"/>
      <w:jc w:val="both"/>
      <w:outlineLvl w:val="1"/>
    </w:pPr>
    <w:rPr>
      <w:rFonts w:ascii="黑体" w:hAnsi="Times New Roman" w:eastAsia="黑体" w:cs="黑体"/>
      <w:sz w:val="21"/>
      <w:szCs w:val="21"/>
      <w:lang w:val="en-US" w:eastAsia="zh-CN" w:bidi="ar-SA"/>
    </w:rPr>
  </w:style>
  <w:style w:type="paragraph" w:customStyle="1" w:styleId="60">
    <w:name w:val="一级条标题"/>
    <w:basedOn w:val="59"/>
    <w:next w:val="54"/>
    <w:qFormat/>
    <w:uiPriority w:val="99"/>
    <w:pPr>
      <w:numPr>
        <w:ilvl w:val="2"/>
      </w:numPr>
      <w:spacing w:beforeLines="0" w:afterLines="0"/>
      <w:outlineLvl w:val="2"/>
    </w:pPr>
  </w:style>
  <w:style w:type="paragraph" w:customStyle="1" w:styleId="61">
    <w:name w:val="二级条标题"/>
    <w:basedOn w:val="60"/>
    <w:next w:val="54"/>
    <w:qFormat/>
    <w:uiPriority w:val="99"/>
    <w:pPr>
      <w:numPr>
        <w:ilvl w:val="3"/>
      </w:numPr>
      <w:ind w:left="0"/>
      <w:outlineLvl w:val="3"/>
    </w:pPr>
  </w:style>
  <w:style w:type="paragraph" w:customStyle="1" w:styleId="62">
    <w:name w:val="三级条标题"/>
    <w:basedOn w:val="61"/>
    <w:next w:val="54"/>
    <w:qFormat/>
    <w:uiPriority w:val="99"/>
    <w:pPr>
      <w:numPr>
        <w:ilvl w:val="4"/>
      </w:numPr>
      <w:outlineLvl w:val="4"/>
    </w:pPr>
  </w:style>
  <w:style w:type="paragraph" w:customStyle="1" w:styleId="63">
    <w:name w:val="四级条标题"/>
    <w:basedOn w:val="62"/>
    <w:next w:val="54"/>
    <w:qFormat/>
    <w:uiPriority w:val="99"/>
    <w:pPr>
      <w:numPr>
        <w:ilvl w:val="5"/>
      </w:numPr>
      <w:outlineLvl w:val="5"/>
    </w:pPr>
  </w:style>
  <w:style w:type="paragraph" w:customStyle="1" w:styleId="64">
    <w:name w:val="五级条标题"/>
    <w:basedOn w:val="63"/>
    <w:next w:val="54"/>
    <w:qFormat/>
    <w:uiPriority w:val="99"/>
    <w:pPr>
      <w:numPr>
        <w:ilvl w:val="6"/>
      </w:numPr>
      <w:outlineLvl w:val="6"/>
    </w:pPr>
  </w:style>
  <w:style w:type="paragraph" w:customStyle="1" w:styleId="65">
    <w:name w:val="Char Char Char Char Char Char Char Char Char"/>
    <w:basedOn w:val="1"/>
    <w:qFormat/>
    <w:uiPriority w:val="99"/>
    <w:pPr>
      <w:widowControl/>
      <w:spacing w:after="160" w:line="240" w:lineRule="exact"/>
      <w:jc w:val="left"/>
    </w:pPr>
    <w:rPr>
      <w:rFonts w:ascii="Verdana" w:hAnsi="Verdana" w:eastAsia="仿宋_GB2312" w:cs="Verdana"/>
      <w:kern w:val="0"/>
      <w:szCs w:val="24"/>
      <w:lang w:eastAsia="en-US"/>
    </w:rPr>
  </w:style>
  <w:style w:type="paragraph" w:styleId="66">
    <w:name w:val="List Paragraph"/>
    <w:basedOn w:val="1"/>
    <w:qFormat/>
    <w:uiPriority w:val="34"/>
    <w:pPr>
      <w:ind w:firstLine="420" w:firstLineChars="200"/>
    </w:pPr>
    <w:rPr>
      <w:rFonts w:cs="Calibri"/>
      <w:szCs w:val="21"/>
    </w:rPr>
  </w:style>
  <w:style w:type="paragraph" w:customStyle="1" w:styleId="67">
    <w:name w:val="Revision1"/>
    <w:hidden/>
    <w:qFormat/>
    <w:uiPriority w:val="99"/>
    <w:rPr>
      <w:rFonts w:ascii="Calibri" w:hAnsi="Calibri" w:eastAsia="宋体" w:cs="Times New Roman"/>
      <w:kern w:val="2"/>
      <w:sz w:val="21"/>
      <w:szCs w:val="22"/>
      <w:lang w:val="en-US" w:eastAsia="zh-CN" w:bidi="ar-SA"/>
    </w:rPr>
  </w:style>
  <w:style w:type="paragraph" w:customStyle="1" w:styleId="68">
    <w:name w:val="修订1"/>
    <w:hidden/>
    <w:semiHidden/>
    <w:qFormat/>
    <w:uiPriority w:val="99"/>
    <w:rPr>
      <w:rFonts w:ascii="Calibri" w:hAnsi="Calibri" w:eastAsia="宋体" w:cs="Times New Roman"/>
      <w:kern w:val="2"/>
      <w:sz w:val="21"/>
      <w:szCs w:val="22"/>
      <w:lang w:val="en-US" w:eastAsia="zh-CN" w:bidi="ar-SA"/>
    </w:rPr>
  </w:style>
  <w:style w:type="character" w:customStyle="1" w:styleId="69">
    <w:name w:val="标题 1 Char"/>
    <w:qFormat/>
    <w:locked/>
    <w:uiPriority w:val="99"/>
    <w:rPr>
      <w:rFonts w:ascii="宋体" w:hAnsi="宋体" w:eastAsia="宋体" w:cs="宋体"/>
      <w:sz w:val="28"/>
      <w:szCs w:val="28"/>
    </w:rPr>
  </w:style>
  <w:style w:type="character" w:customStyle="1" w:styleId="70">
    <w:name w:val="标题 2 Char"/>
    <w:qFormat/>
    <w:locked/>
    <w:uiPriority w:val="99"/>
    <w:rPr>
      <w:rFonts w:ascii="Arial" w:hAnsi="Arial" w:eastAsia="黑体" w:cs="Arial"/>
      <w:b/>
      <w:bCs/>
      <w:sz w:val="32"/>
      <w:szCs w:val="32"/>
    </w:rPr>
  </w:style>
  <w:style w:type="character" w:customStyle="1" w:styleId="71">
    <w:name w:val="标题 3 Char"/>
    <w:qFormat/>
    <w:locked/>
    <w:uiPriority w:val="99"/>
    <w:rPr>
      <w:rFonts w:ascii="Times New Roman" w:hAnsi="Times New Roman" w:eastAsia="宋体" w:cs="Times New Roman"/>
      <w:b/>
      <w:bCs/>
      <w:sz w:val="32"/>
      <w:szCs w:val="32"/>
    </w:rPr>
  </w:style>
  <w:style w:type="character" w:customStyle="1" w:styleId="72">
    <w:name w:val="批注文字 Char"/>
    <w:semiHidden/>
    <w:qFormat/>
    <w:locked/>
    <w:uiPriority w:val="99"/>
    <w:rPr>
      <w:rFonts w:ascii="Times New Roman" w:hAnsi="Times New Roman" w:eastAsia="宋体" w:cs="Times New Roman"/>
      <w:sz w:val="21"/>
      <w:szCs w:val="21"/>
    </w:rPr>
  </w:style>
  <w:style w:type="character" w:customStyle="1" w:styleId="73">
    <w:name w:val="正文文本缩进 Char"/>
    <w:qFormat/>
    <w:locked/>
    <w:uiPriority w:val="99"/>
    <w:rPr>
      <w:rFonts w:ascii="Times New Roman" w:hAnsi="Times New Roman" w:eastAsia="宋体" w:cs="Times New Roman"/>
      <w:sz w:val="21"/>
      <w:szCs w:val="21"/>
    </w:rPr>
  </w:style>
  <w:style w:type="character" w:customStyle="1" w:styleId="74">
    <w:name w:val="纯文本 Char"/>
    <w:qFormat/>
    <w:locked/>
    <w:uiPriority w:val="99"/>
    <w:rPr>
      <w:rFonts w:ascii="宋体" w:hAnsi="Courier New" w:eastAsia="宋体" w:cs="宋体"/>
      <w:sz w:val="21"/>
      <w:szCs w:val="21"/>
    </w:rPr>
  </w:style>
  <w:style w:type="character" w:customStyle="1" w:styleId="75">
    <w:name w:val="日期 Char"/>
    <w:qFormat/>
    <w:locked/>
    <w:uiPriority w:val="99"/>
    <w:rPr>
      <w:rFonts w:ascii="Times New Roman" w:hAnsi="Times New Roman" w:eastAsia="宋体" w:cs="Times New Roman"/>
      <w:sz w:val="21"/>
      <w:szCs w:val="21"/>
    </w:rPr>
  </w:style>
  <w:style w:type="character" w:customStyle="1" w:styleId="76">
    <w:name w:val="批注框文本 Char"/>
    <w:semiHidden/>
    <w:qFormat/>
    <w:locked/>
    <w:uiPriority w:val="99"/>
    <w:rPr>
      <w:rFonts w:cs="Times New Roman"/>
      <w:sz w:val="18"/>
      <w:szCs w:val="18"/>
    </w:rPr>
  </w:style>
  <w:style w:type="character" w:customStyle="1" w:styleId="77">
    <w:name w:val="页脚 Char"/>
    <w:qFormat/>
    <w:locked/>
    <w:uiPriority w:val="99"/>
    <w:rPr>
      <w:rFonts w:cs="Times New Roman"/>
      <w:sz w:val="18"/>
      <w:szCs w:val="18"/>
    </w:rPr>
  </w:style>
  <w:style w:type="character" w:customStyle="1" w:styleId="78">
    <w:name w:val="页眉 Char"/>
    <w:semiHidden/>
    <w:qFormat/>
    <w:locked/>
    <w:uiPriority w:val="99"/>
    <w:rPr>
      <w:rFonts w:cs="Times New Roman"/>
      <w:sz w:val="18"/>
      <w:szCs w:val="18"/>
    </w:rPr>
  </w:style>
  <w:style w:type="character" w:customStyle="1" w:styleId="79">
    <w:name w:val="批注主题 Char"/>
    <w:semiHidden/>
    <w:qFormat/>
    <w:locked/>
    <w:uiPriority w:val="99"/>
    <w:rPr>
      <w:rFonts w:ascii="Times New Roman" w:hAnsi="Times New Roman" w:eastAsia="宋体" w:cs="Times New Roman"/>
      <w:b/>
      <w:bCs/>
      <w:sz w:val="21"/>
      <w:szCs w:val="21"/>
    </w:rPr>
  </w:style>
  <w:style w:type="character" w:customStyle="1" w:styleId="80">
    <w:name w:val="标题 字符"/>
    <w:basedOn w:val="29"/>
    <w:link w:val="25"/>
    <w:qFormat/>
    <w:uiPriority w:val="0"/>
    <w:rPr>
      <w:rFonts w:asciiTheme="majorHAnsi" w:hAnsiTheme="majorHAnsi" w:eastAsiaTheme="majorEastAsia" w:cstheme="majorBidi"/>
      <w:b/>
      <w:bCs/>
      <w:kern w:val="2"/>
      <w:sz w:val="32"/>
      <w:szCs w:val="32"/>
    </w:rPr>
  </w:style>
  <w:style w:type="paragraph" w:customStyle="1" w:styleId="81">
    <w:name w:val="TOC Heading"/>
    <w:basedOn w:val="2"/>
    <w:next w:val="1"/>
    <w:unhideWhenUsed/>
    <w:qFormat/>
    <w:uiPriority w:val="39"/>
    <w:pPr>
      <w:keepLines/>
      <w:widowControl/>
      <w:spacing w:before="240" w:line="259" w:lineRule="auto"/>
      <w:jc w:val="left"/>
      <w:outlineLvl w:val="9"/>
    </w:pPr>
    <w:rPr>
      <w:rFonts w:asciiTheme="majorHAnsi" w:hAnsiTheme="majorHAnsi" w:eastAsiaTheme="majorEastAsia" w:cstheme="majorBidi"/>
      <w:color w:val="376092" w:themeColor="accent1" w:themeShade="BF"/>
      <w:kern w:val="0"/>
      <w:sz w:val="32"/>
      <w:szCs w:val="32"/>
    </w:rPr>
  </w:style>
  <w:style w:type="character" w:customStyle="1" w:styleId="82">
    <w:name w:val="正文文本 字符"/>
    <w:basedOn w:val="29"/>
    <w:link w:val="9"/>
    <w:semiHidden/>
    <w:qFormat/>
    <w:uiPriority w:val="99"/>
    <w:rPr>
      <w:kern w:val="2"/>
      <w:sz w:val="24"/>
      <w:szCs w:val="22"/>
    </w:rPr>
  </w:style>
  <w:style w:type="paragraph" w:customStyle="1" w:styleId="83">
    <w:name w:val="标准文件_附录章标题"/>
    <w:next w:val="1"/>
    <w:uiPriority w:val="0"/>
    <w:pPr>
      <w:numPr>
        <w:ilvl w:val="1"/>
        <w:numId w:val="2"/>
      </w:numPr>
      <w:wordWrap w:val="0"/>
      <w:overflowPunct w:val="0"/>
      <w:autoSpaceDE w:val="0"/>
      <w:spacing w:before="156" w:beforeLines="50" w:after="156" w:afterLines="50"/>
      <w:ind w:right="-50" w:rightChars="-50"/>
      <w:jc w:val="both"/>
      <w:textAlignment w:val="baseline"/>
      <w:outlineLvl w:val="1"/>
    </w:pPr>
    <w:rPr>
      <w:rFonts w:ascii="黑体" w:hAnsi="Times New Roman" w:eastAsia="黑体" w:cs="Times New Roman"/>
      <w:kern w:val="21"/>
      <w:sz w:val="21"/>
      <w:lang w:val="en-US" w:eastAsia="zh-CN" w:bidi="ar-SA"/>
    </w:rPr>
  </w:style>
  <w:style w:type="paragraph" w:customStyle="1" w:styleId="84">
    <w:name w:val="标准文件_附录标识"/>
    <w:next w:val="9"/>
    <w:uiPriority w:val="0"/>
    <w:pPr>
      <w:numPr>
        <w:ilvl w:val="0"/>
        <w:numId w:val="2"/>
      </w:numPr>
      <w:shd w:val="clear" w:color="FFFFFF" w:fill="FFFFFF"/>
      <w:tabs>
        <w:tab w:val="left" w:pos="6405"/>
      </w:tabs>
      <w:spacing w:before="640" w:after="160"/>
      <w:jc w:val="center"/>
      <w:outlineLvl w:val="0"/>
    </w:pPr>
    <w:rPr>
      <w:rFonts w:ascii="黑体" w:hAnsi="Times New Roman" w:eastAsia="黑体" w:cs="Times New Roman"/>
      <w:sz w:val="21"/>
      <w:lang w:val="en-US" w:eastAsia="zh-CN" w:bidi="ar-SA"/>
    </w:rPr>
  </w:style>
  <w:style w:type="character" w:customStyle="1" w:styleId="85">
    <w:name w:val="标题 5 字符"/>
    <w:basedOn w:val="29"/>
    <w:link w:val="5"/>
    <w:semiHidden/>
    <w:uiPriority w:val="0"/>
    <w:rPr>
      <w:b/>
      <w:bCs/>
      <w:kern w:val="2"/>
      <w:sz w:val="28"/>
      <w:szCs w:val="28"/>
    </w:rPr>
  </w:style>
  <w:style w:type="character" w:customStyle="1" w:styleId="86">
    <w:name w:val="Unresolved Mention"/>
    <w:basedOn w:val="2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F75E2E-E14A-4639-821B-7C58492411D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22</Pages>
  <Words>150</Words>
  <Characters>236</Characters>
  <Lines>67</Lines>
  <Paragraphs>19</Paragraphs>
  <TotalTime>7068</TotalTime>
  <ScaleCrop>false</ScaleCrop>
  <LinksUpToDate>false</LinksUpToDate>
  <CharactersWithSpaces>356</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2025-08-07T07:13:00Z</dcterms:created>
  <dc:creator>微软用户</dc:creator>
  <cp:lastModifiedBy>Bruis Kim</cp:lastModifiedBy>
  <cp:lastPrinted>2025-03-10T03:52:00Z</cp:lastPrinted>
  <dcterms:modified xsi:type="dcterms:W3CDTF">2025-09-16T09:04:15Z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544AC916481A4C38AD9C4D4070E999C4</vt:lpwstr>
  </property>
  <property fmtid="{D5CDD505-2E9C-101B-9397-08002B2CF9AE}" pid="4" name="KSOTemplateDocerSaveRecord">
    <vt:lpwstr>eyJoZGlkIjoiMzEwNTM5NzYwMDRjMzkwZTVkZjY2ODkwMGIxNGU0OTUiLCJ1c2VySWQiOiI1ODE2NTg3NjIifQ==</vt:lpwstr>
  </property>
  <property fmtid="{D5CDD505-2E9C-101B-9397-08002B2CF9AE}" pid="5" name="MTWinEqns">
    <vt:bool>true</vt:bool>
  </property>
</Properties>
</file>